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6AC9" w14:textId="77777777" w:rsidR="00C51153" w:rsidRDefault="00C51153" w:rsidP="007C20F4">
      <w:pPr>
        <w:pStyle w:val="CommentText"/>
        <w:ind w:right="386" w:firstLine="540"/>
        <w:jc w:val="both"/>
      </w:pPr>
    </w:p>
    <w:p w14:paraId="36397683" w14:textId="77777777" w:rsidR="00C51153" w:rsidRDefault="00C51153" w:rsidP="007C20F4">
      <w:pPr>
        <w:pStyle w:val="CommentText"/>
        <w:ind w:right="386" w:firstLine="540"/>
        <w:jc w:val="both"/>
      </w:pPr>
    </w:p>
    <w:p w14:paraId="55846318" w14:textId="77777777" w:rsidR="00C51153" w:rsidRDefault="00C51153" w:rsidP="007C20F4">
      <w:pPr>
        <w:pStyle w:val="CommentText"/>
        <w:ind w:right="386" w:firstLine="540"/>
        <w:jc w:val="both"/>
      </w:pPr>
    </w:p>
    <w:p w14:paraId="52DA71F3" w14:textId="77777777" w:rsidR="00C51153" w:rsidRDefault="00C51153" w:rsidP="007C20F4">
      <w:pPr>
        <w:pStyle w:val="CommentText"/>
        <w:ind w:right="386" w:firstLine="540"/>
        <w:jc w:val="both"/>
      </w:pPr>
    </w:p>
    <w:p w14:paraId="21525624" w14:textId="77777777" w:rsidR="00F4367A" w:rsidRPr="00FC3A80" w:rsidRDefault="00C973D6" w:rsidP="007C20F4">
      <w:pPr>
        <w:pStyle w:val="CommentText"/>
        <w:ind w:right="386" w:firstLine="540"/>
        <w:jc w:val="both"/>
      </w:pPr>
      <w:r w:rsidRPr="00FC3A80">
        <w:rPr>
          <w:noProof/>
          <w:lang w:eastAsia="en-GB"/>
        </w:rPr>
        <mc:AlternateContent>
          <mc:Choice Requires="wps">
            <w:drawing>
              <wp:anchor distT="0" distB="0" distL="114300" distR="114300" simplePos="0" relativeHeight="251658240" behindDoc="0" locked="0" layoutInCell="1" allowOverlap="1" wp14:anchorId="16C4FA10" wp14:editId="1DB9FF39">
                <wp:simplePos x="0" y="0"/>
                <wp:positionH relativeFrom="column">
                  <wp:posOffset>5029200</wp:posOffset>
                </wp:positionH>
                <wp:positionV relativeFrom="paragraph">
                  <wp:posOffset>-683895</wp:posOffset>
                </wp:positionV>
                <wp:extent cx="1143000" cy="148590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7298C" w14:textId="77777777" w:rsidR="008F58BB" w:rsidRDefault="008F58BB">
                            <w:r>
                              <w:rPr>
                                <w:noProof/>
                                <w:lang w:eastAsia="en-GB"/>
                              </w:rPr>
                              <w:drawing>
                                <wp:inline distT="0" distB="0" distL="0" distR="0" wp14:anchorId="5CB6BCDB" wp14:editId="6977F73F">
                                  <wp:extent cx="944245" cy="1262380"/>
                                  <wp:effectExtent l="0" t="0" r="0" b="762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245" cy="12623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4FA10" id="_x0000_t202" coordsize="21600,21600" o:spt="202" path="m,l,21600r21600,l21600,xe">
                <v:stroke joinstyle="miter"/>
                <v:path gradientshapeok="t" o:connecttype="rect"/>
              </v:shapetype>
              <v:shape id="Text Box 2" o:spid="_x0000_s1026" type="#_x0000_t202" style="position:absolute;left:0;text-align:left;margin-left:396pt;margin-top:-53.85pt;width:90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" stroked="f">
                <v:textbox>
                  <w:txbxContent>
                    <w:p w14:paraId="2F97298C" w14:textId="77777777" w:rsidR="008F58BB" w:rsidRDefault="008F58BB">
                      <w:r>
                        <w:rPr>
                          <w:noProof/>
                          <w:lang w:eastAsia="en-GB"/>
                        </w:rPr>
                        <w:drawing>
                          <wp:inline distT="0" distB="0" distL="0" distR="0" wp14:anchorId="5CB6BCDB" wp14:editId="6977F73F">
                            <wp:extent cx="944245" cy="1262380"/>
                            <wp:effectExtent l="0" t="0" r="0" b="762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245" cy="1262380"/>
                                    </a:xfrm>
                                    <a:prstGeom prst="rect">
                                      <a:avLst/>
                                    </a:prstGeom>
                                    <a:noFill/>
                                    <a:ln>
                                      <a:noFill/>
                                    </a:ln>
                                  </pic:spPr>
                                </pic:pic>
                              </a:graphicData>
                            </a:graphic>
                          </wp:inline>
                        </w:drawing>
                      </w:r>
                    </w:p>
                  </w:txbxContent>
                </v:textbox>
              </v:shape>
            </w:pict>
          </mc:Fallback>
        </mc:AlternateContent>
      </w:r>
      <w:r w:rsidR="00F4367A" w:rsidRPr="00FC3A80">
        <w:t xml:space="preserve">                                                                              </w:t>
      </w:r>
    </w:p>
    <w:p w14:paraId="6EBF54E7" w14:textId="77777777" w:rsidR="00F4367A" w:rsidRPr="00FC3A80" w:rsidRDefault="00F4367A" w:rsidP="007C20F4">
      <w:pPr>
        <w:ind w:right="386" w:firstLine="540"/>
        <w:jc w:val="both"/>
        <w:rPr>
          <w:b/>
          <w:bCs/>
          <w:sz w:val="22"/>
          <w:szCs w:val="22"/>
        </w:rPr>
      </w:pPr>
    </w:p>
    <w:p w14:paraId="3D291A1A" w14:textId="77777777" w:rsidR="00F4367A" w:rsidRPr="0097022F" w:rsidRDefault="00F4367A" w:rsidP="00942056">
      <w:pPr>
        <w:tabs>
          <w:tab w:val="left" w:pos="2160"/>
        </w:tabs>
        <w:ind w:right="386"/>
        <w:jc w:val="both"/>
        <w:rPr>
          <w:rFonts w:cs="Arial"/>
          <w:b/>
          <w:bCs/>
        </w:rPr>
      </w:pPr>
      <w:r w:rsidRPr="0097022F">
        <w:rPr>
          <w:rFonts w:cs="Arial"/>
          <w:b/>
          <w:bCs/>
        </w:rPr>
        <w:t xml:space="preserve">To: </w:t>
      </w:r>
      <w:r w:rsidR="00942056">
        <w:rPr>
          <w:rFonts w:cs="Arial"/>
          <w:b/>
          <w:bCs/>
        </w:rPr>
        <w:tab/>
      </w:r>
      <w:r w:rsidR="00526981">
        <w:rPr>
          <w:rFonts w:cs="Arial"/>
          <w:b/>
          <w:bCs/>
        </w:rPr>
        <w:t>Cabinet</w:t>
      </w:r>
      <w:r w:rsidRPr="0097022F">
        <w:rPr>
          <w:rFonts w:cs="Arial"/>
          <w:b/>
          <w:bCs/>
        </w:rPr>
        <w:tab/>
      </w:r>
      <w:r w:rsidR="00956EB9" w:rsidRPr="0097022F">
        <w:rPr>
          <w:rFonts w:cs="Arial"/>
          <w:b/>
          <w:bCs/>
        </w:rPr>
        <w:t xml:space="preserve"> </w:t>
      </w:r>
      <w:r w:rsidRPr="0097022F">
        <w:rPr>
          <w:rFonts w:cs="Arial"/>
          <w:b/>
          <w:bCs/>
        </w:rPr>
        <w:tab/>
      </w:r>
      <w:r w:rsidRPr="0097022F">
        <w:rPr>
          <w:rFonts w:cs="Arial"/>
          <w:b/>
          <w:bCs/>
        </w:rPr>
        <w:tab/>
      </w:r>
      <w:r w:rsidRPr="0097022F">
        <w:rPr>
          <w:rFonts w:cs="Arial"/>
          <w:b/>
          <w:bCs/>
        </w:rPr>
        <w:tab/>
      </w:r>
    </w:p>
    <w:p w14:paraId="6CDB3EC5" w14:textId="77777777" w:rsidR="00F4367A" w:rsidRPr="0097022F" w:rsidRDefault="00F4367A" w:rsidP="00942056">
      <w:pPr>
        <w:ind w:right="386"/>
        <w:jc w:val="both"/>
        <w:rPr>
          <w:rFonts w:cs="Arial"/>
          <w:b/>
          <w:bCs/>
        </w:rPr>
      </w:pPr>
    </w:p>
    <w:p w14:paraId="3203F7EA" w14:textId="13868FD2" w:rsidR="00956EB9" w:rsidRPr="0097022F" w:rsidRDefault="00F4367A" w:rsidP="00942056">
      <w:pPr>
        <w:tabs>
          <w:tab w:val="left" w:pos="2127"/>
          <w:tab w:val="left" w:pos="6300"/>
          <w:tab w:val="left" w:pos="7380"/>
        </w:tabs>
        <w:ind w:right="386"/>
        <w:jc w:val="both"/>
        <w:rPr>
          <w:rFonts w:cs="Arial"/>
          <w:b/>
          <w:bCs/>
        </w:rPr>
      </w:pPr>
      <w:r w:rsidRPr="0097022F">
        <w:rPr>
          <w:rFonts w:cs="Arial"/>
          <w:b/>
          <w:bCs/>
        </w:rPr>
        <w:t>Date:</w:t>
      </w:r>
      <w:r w:rsidRPr="0097022F">
        <w:rPr>
          <w:rFonts w:cs="Arial"/>
          <w:b/>
          <w:bCs/>
        </w:rPr>
        <w:tab/>
      </w:r>
      <w:r w:rsidR="005B7689">
        <w:rPr>
          <w:rFonts w:cs="Arial"/>
          <w:b/>
          <w:bCs/>
        </w:rPr>
        <w:t>1</w:t>
      </w:r>
      <w:r w:rsidR="00B96FC0">
        <w:rPr>
          <w:rFonts w:cs="Arial"/>
          <w:b/>
          <w:bCs/>
        </w:rPr>
        <w:t>1</w:t>
      </w:r>
      <w:r w:rsidR="00FB14CD" w:rsidRPr="0097022F">
        <w:rPr>
          <w:rFonts w:cs="Arial"/>
          <w:b/>
          <w:bCs/>
        </w:rPr>
        <w:t xml:space="preserve"> December 20</w:t>
      </w:r>
      <w:r w:rsidR="00023727">
        <w:rPr>
          <w:rFonts w:cs="Arial"/>
          <w:b/>
          <w:bCs/>
        </w:rPr>
        <w:t>2</w:t>
      </w:r>
      <w:r w:rsidR="00B96FC0">
        <w:rPr>
          <w:rFonts w:cs="Arial"/>
          <w:b/>
          <w:bCs/>
        </w:rPr>
        <w:t>4</w:t>
      </w:r>
    </w:p>
    <w:p w14:paraId="5D4A98A8" w14:textId="77777777" w:rsidR="00BC40F5" w:rsidRPr="0097022F" w:rsidRDefault="00FD359F" w:rsidP="00942056">
      <w:pPr>
        <w:tabs>
          <w:tab w:val="left" w:pos="2160"/>
          <w:tab w:val="left" w:pos="6300"/>
          <w:tab w:val="left" w:pos="7380"/>
        </w:tabs>
        <w:ind w:right="386"/>
        <w:jc w:val="both"/>
        <w:rPr>
          <w:rFonts w:cs="Arial"/>
          <w:b/>
          <w:bCs/>
        </w:rPr>
      </w:pPr>
      <w:r>
        <w:rPr>
          <w:rFonts w:cs="Arial"/>
          <w:b/>
          <w:bCs/>
        </w:rPr>
        <w:t xml:space="preserve">   </w:t>
      </w:r>
    </w:p>
    <w:p w14:paraId="11CF5E45" w14:textId="77777777" w:rsidR="00F4367A" w:rsidRPr="0097022F" w:rsidRDefault="00F4367A" w:rsidP="00942056">
      <w:pPr>
        <w:tabs>
          <w:tab w:val="left" w:pos="2160"/>
          <w:tab w:val="left" w:pos="6300"/>
          <w:tab w:val="left" w:pos="7380"/>
        </w:tabs>
        <w:ind w:right="386"/>
        <w:jc w:val="both"/>
        <w:rPr>
          <w:rFonts w:cs="Arial"/>
          <w:b/>
          <w:bCs/>
        </w:rPr>
      </w:pPr>
      <w:r w:rsidRPr="0097022F">
        <w:rPr>
          <w:rFonts w:cs="Arial"/>
          <w:b/>
          <w:bCs/>
        </w:rPr>
        <w:t xml:space="preserve">Item No:   </w:t>
      </w:r>
      <w:r w:rsidRPr="0097022F">
        <w:rPr>
          <w:rFonts w:cs="Arial"/>
          <w:b/>
          <w:bCs/>
        </w:rPr>
        <w:tab/>
      </w:r>
    </w:p>
    <w:p w14:paraId="5B602C7F" w14:textId="77777777" w:rsidR="00F4367A" w:rsidRPr="0097022F" w:rsidRDefault="00F4367A" w:rsidP="00942056">
      <w:pPr>
        <w:ind w:right="386"/>
        <w:jc w:val="both"/>
        <w:rPr>
          <w:rFonts w:cs="Arial"/>
          <w:b/>
          <w:bCs/>
        </w:rPr>
      </w:pPr>
    </w:p>
    <w:p w14:paraId="1397DD28" w14:textId="77777777" w:rsidR="00F4367A" w:rsidRPr="0097022F" w:rsidRDefault="00F4367A" w:rsidP="00942056">
      <w:pPr>
        <w:ind w:right="386"/>
        <w:jc w:val="both"/>
        <w:rPr>
          <w:rFonts w:cs="Arial"/>
          <w:b/>
          <w:bCs/>
        </w:rPr>
      </w:pPr>
      <w:r w:rsidRPr="0097022F">
        <w:rPr>
          <w:rFonts w:cs="Arial"/>
          <w:b/>
          <w:bCs/>
        </w:rPr>
        <w:t>Report of:</w:t>
      </w:r>
      <w:r w:rsidRPr="0097022F">
        <w:rPr>
          <w:rFonts w:cs="Arial"/>
          <w:b/>
          <w:bCs/>
        </w:rPr>
        <w:tab/>
      </w:r>
      <w:r w:rsidR="00F06FC6">
        <w:rPr>
          <w:rFonts w:cs="Arial"/>
          <w:b/>
          <w:bCs/>
        </w:rPr>
        <w:tab/>
      </w:r>
      <w:r w:rsidR="005501CA">
        <w:rPr>
          <w:rFonts w:cs="Arial"/>
          <w:b/>
          <w:bCs/>
        </w:rPr>
        <w:t xml:space="preserve">Head of Financial </w:t>
      </w:r>
      <w:r w:rsidR="009106CA">
        <w:rPr>
          <w:rFonts w:cs="Arial"/>
          <w:b/>
          <w:bCs/>
        </w:rPr>
        <w:t>Services</w:t>
      </w:r>
    </w:p>
    <w:p w14:paraId="440BF2EA" w14:textId="77777777" w:rsidR="00F4367A" w:rsidRPr="0097022F" w:rsidRDefault="00F4367A" w:rsidP="00942056">
      <w:pPr>
        <w:tabs>
          <w:tab w:val="left" w:pos="2160"/>
        </w:tabs>
        <w:ind w:right="386"/>
        <w:jc w:val="both"/>
        <w:rPr>
          <w:rFonts w:cs="Arial"/>
          <w:b/>
          <w:bCs/>
        </w:rPr>
      </w:pPr>
    </w:p>
    <w:p w14:paraId="1972DB5E" w14:textId="5E9A6A55" w:rsidR="00F4367A" w:rsidRPr="0097022F" w:rsidRDefault="00F4367A" w:rsidP="00416EFF">
      <w:pPr>
        <w:ind w:left="2127" w:right="386" w:hanging="2127"/>
        <w:rPr>
          <w:rFonts w:cs="Arial"/>
          <w:b/>
          <w:bCs/>
        </w:rPr>
      </w:pPr>
      <w:r w:rsidRPr="0097022F">
        <w:rPr>
          <w:rFonts w:cs="Arial"/>
          <w:b/>
          <w:bCs/>
        </w:rPr>
        <w:t xml:space="preserve">Title of Report: </w:t>
      </w:r>
      <w:r w:rsidR="00416EFF">
        <w:rPr>
          <w:rFonts w:cs="Arial"/>
          <w:b/>
          <w:bCs/>
        </w:rPr>
        <w:tab/>
      </w:r>
      <w:r w:rsidR="00E0139B" w:rsidRPr="0097022F">
        <w:rPr>
          <w:rFonts w:cs="Arial"/>
          <w:b/>
          <w:bCs/>
        </w:rPr>
        <w:t xml:space="preserve">Medium Term Financial Strategy </w:t>
      </w:r>
      <w:r w:rsidR="00E9541D" w:rsidRPr="0097022F">
        <w:rPr>
          <w:rFonts w:cs="Arial"/>
          <w:b/>
          <w:bCs/>
        </w:rPr>
        <w:t>20</w:t>
      </w:r>
      <w:r w:rsidR="00023727">
        <w:rPr>
          <w:rFonts w:cs="Arial"/>
          <w:b/>
          <w:bCs/>
        </w:rPr>
        <w:t>2</w:t>
      </w:r>
      <w:r w:rsidR="00B96FC0">
        <w:rPr>
          <w:rFonts w:cs="Arial"/>
          <w:b/>
          <w:bCs/>
        </w:rPr>
        <w:t>6</w:t>
      </w:r>
      <w:r w:rsidR="00DB1309">
        <w:rPr>
          <w:rFonts w:cs="Arial"/>
          <w:b/>
          <w:bCs/>
        </w:rPr>
        <w:t>-</w:t>
      </w:r>
      <w:r w:rsidR="00A22A47">
        <w:rPr>
          <w:rFonts w:cs="Arial"/>
          <w:b/>
          <w:bCs/>
        </w:rPr>
        <w:t>2</w:t>
      </w:r>
      <w:r w:rsidR="00B96FC0">
        <w:rPr>
          <w:rFonts w:cs="Arial"/>
          <w:b/>
          <w:bCs/>
        </w:rPr>
        <w:t>7</w:t>
      </w:r>
      <w:r w:rsidR="00E9541D" w:rsidRPr="0097022F">
        <w:rPr>
          <w:rFonts w:cs="Arial"/>
          <w:b/>
          <w:bCs/>
        </w:rPr>
        <w:t xml:space="preserve"> </w:t>
      </w:r>
      <w:r w:rsidR="00C37395">
        <w:rPr>
          <w:rFonts w:cs="Arial"/>
          <w:b/>
          <w:bCs/>
        </w:rPr>
        <w:t>to 202</w:t>
      </w:r>
      <w:r w:rsidR="00B96FC0">
        <w:rPr>
          <w:rFonts w:cs="Arial"/>
          <w:b/>
          <w:bCs/>
        </w:rPr>
        <w:t>8</w:t>
      </w:r>
      <w:r w:rsidR="00ED6871">
        <w:rPr>
          <w:rFonts w:cs="Arial"/>
          <w:b/>
          <w:bCs/>
        </w:rPr>
        <w:t>-</w:t>
      </w:r>
      <w:r w:rsidR="00C37395">
        <w:rPr>
          <w:rFonts w:cs="Arial"/>
          <w:b/>
          <w:bCs/>
        </w:rPr>
        <w:t>2</w:t>
      </w:r>
      <w:r w:rsidR="00B96FC0">
        <w:rPr>
          <w:rFonts w:cs="Arial"/>
          <w:b/>
          <w:bCs/>
        </w:rPr>
        <w:t>9</w:t>
      </w:r>
      <w:r w:rsidR="00A22A47">
        <w:rPr>
          <w:rFonts w:cs="Arial"/>
          <w:b/>
          <w:bCs/>
        </w:rPr>
        <w:t xml:space="preserve"> </w:t>
      </w:r>
      <w:r w:rsidR="00E0139B" w:rsidRPr="0097022F">
        <w:rPr>
          <w:rFonts w:cs="Arial"/>
          <w:b/>
          <w:bCs/>
        </w:rPr>
        <w:t>and</w:t>
      </w:r>
      <w:r w:rsidR="00416EFF">
        <w:rPr>
          <w:rFonts w:cs="Arial"/>
          <w:b/>
          <w:bCs/>
        </w:rPr>
        <w:br/>
      </w:r>
      <w:r w:rsidR="00E9541D" w:rsidRPr="0097022F">
        <w:rPr>
          <w:rFonts w:cs="Arial"/>
          <w:b/>
          <w:bCs/>
        </w:rPr>
        <w:t>20</w:t>
      </w:r>
      <w:r w:rsidR="00526981">
        <w:rPr>
          <w:rFonts w:cs="Arial"/>
          <w:b/>
          <w:bCs/>
        </w:rPr>
        <w:t>2</w:t>
      </w:r>
      <w:r w:rsidR="00B96FC0">
        <w:rPr>
          <w:rFonts w:cs="Arial"/>
          <w:b/>
          <w:bCs/>
        </w:rPr>
        <w:t>5</w:t>
      </w:r>
      <w:r w:rsidR="00E9541D" w:rsidRPr="0097022F">
        <w:rPr>
          <w:rFonts w:cs="Arial"/>
          <w:b/>
          <w:bCs/>
        </w:rPr>
        <w:t>-</w:t>
      </w:r>
      <w:r w:rsidR="0084493A">
        <w:rPr>
          <w:rFonts w:cs="Arial"/>
          <w:b/>
          <w:bCs/>
        </w:rPr>
        <w:t>2</w:t>
      </w:r>
      <w:r w:rsidR="00B96FC0">
        <w:rPr>
          <w:rFonts w:cs="Arial"/>
          <w:b/>
          <w:bCs/>
        </w:rPr>
        <w:t>6</w:t>
      </w:r>
      <w:r w:rsidR="00E9541D" w:rsidRPr="0097022F">
        <w:rPr>
          <w:rFonts w:cs="Arial"/>
          <w:b/>
          <w:bCs/>
        </w:rPr>
        <w:t xml:space="preserve"> </w:t>
      </w:r>
      <w:r w:rsidR="00E0139B" w:rsidRPr="0097022F">
        <w:rPr>
          <w:rFonts w:cs="Arial"/>
          <w:b/>
          <w:bCs/>
        </w:rPr>
        <w:t xml:space="preserve">Budget for </w:t>
      </w:r>
      <w:r w:rsidR="00AA3E93" w:rsidRPr="0097022F">
        <w:rPr>
          <w:rFonts w:cs="Arial"/>
          <w:b/>
          <w:bCs/>
        </w:rPr>
        <w:t>Consultation</w:t>
      </w:r>
      <w:r w:rsidR="00FD0234">
        <w:rPr>
          <w:rFonts w:cs="Arial"/>
          <w:b/>
          <w:bCs/>
        </w:rPr>
        <w:t>.</w:t>
      </w:r>
      <w:r w:rsidRPr="0097022F">
        <w:rPr>
          <w:rFonts w:cs="Arial"/>
          <w:b/>
          <w:bCs/>
        </w:rPr>
        <w:tab/>
      </w:r>
    </w:p>
    <w:p w14:paraId="66566F40" w14:textId="77777777" w:rsidR="00F4367A" w:rsidRPr="00FC3A80" w:rsidRDefault="00F4367A" w:rsidP="003A37E1">
      <w:pPr>
        <w:pStyle w:val="Heading1"/>
        <w:ind w:right="386" w:firstLine="540"/>
        <w:jc w:val="both"/>
        <w:rPr>
          <w:sz w:val="22"/>
          <w:szCs w:val="22"/>
          <w:u w:val="single"/>
        </w:rPr>
      </w:pPr>
    </w:p>
    <w:p w14:paraId="1CF6DCBE" w14:textId="77777777" w:rsidR="00F4367A" w:rsidRPr="0097022F" w:rsidRDefault="00F4367A" w:rsidP="00942056">
      <w:pPr>
        <w:pStyle w:val="Heading1"/>
        <w:pBdr>
          <w:top w:val="single" w:sz="4" w:space="1" w:color="auto"/>
          <w:left w:val="single" w:sz="4" w:space="0" w:color="auto"/>
          <w:bottom w:val="single" w:sz="4" w:space="1" w:color="auto"/>
          <w:right w:val="single" w:sz="4" w:space="4" w:color="auto"/>
        </w:pBdr>
        <w:ind w:right="386"/>
        <w:jc w:val="center"/>
        <w:rPr>
          <w:u w:val="single"/>
        </w:rPr>
      </w:pPr>
      <w:r w:rsidRPr="0097022F">
        <w:rPr>
          <w:u w:val="single"/>
        </w:rPr>
        <w:t>Summary and Recommendations</w:t>
      </w:r>
    </w:p>
    <w:p w14:paraId="457F2D7B" w14:textId="77777777" w:rsidR="00F4367A" w:rsidRPr="0097022F" w:rsidRDefault="00F4367A" w:rsidP="00942056">
      <w:pPr>
        <w:pBdr>
          <w:top w:val="single" w:sz="4" w:space="1" w:color="auto"/>
          <w:left w:val="single" w:sz="4" w:space="0" w:color="auto"/>
          <w:bottom w:val="single" w:sz="4" w:space="1" w:color="auto"/>
          <w:right w:val="single" w:sz="4" w:space="4" w:color="auto"/>
        </w:pBdr>
        <w:ind w:right="386"/>
        <w:jc w:val="both"/>
        <w:rPr>
          <w:rFonts w:cs="Arial"/>
        </w:rPr>
      </w:pPr>
    </w:p>
    <w:p w14:paraId="3B0093F6" w14:textId="6CCE30B9" w:rsidR="00F4367A" w:rsidRPr="0097022F" w:rsidRDefault="00F4367A" w:rsidP="3E60D2DB">
      <w:pPr>
        <w:pBdr>
          <w:top w:val="single" w:sz="4" w:space="1" w:color="auto"/>
          <w:left w:val="single" w:sz="4" w:space="0" w:color="auto"/>
          <w:bottom w:val="single" w:sz="4" w:space="1" w:color="auto"/>
          <w:right w:val="single" w:sz="4" w:space="4" w:color="auto"/>
        </w:pBdr>
        <w:ind w:right="386"/>
        <w:jc w:val="both"/>
        <w:rPr>
          <w:rFonts w:cs="Arial"/>
        </w:rPr>
      </w:pPr>
      <w:r w:rsidRPr="3E60D2DB">
        <w:rPr>
          <w:rFonts w:cs="Arial"/>
          <w:b/>
          <w:bCs/>
        </w:rPr>
        <w:t>Purpose of report</w:t>
      </w:r>
      <w:r w:rsidRPr="3E60D2DB">
        <w:rPr>
          <w:rFonts w:cs="Arial"/>
        </w:rPr>
        <w:t xml:space="preserve">:  </w:t>
      </w:r>
      <w:r w:rsidR="00792A7B" w:rsidRPr="3E60D2DB">
        <w:rPr>
          <w:rFonts w:cs="Arial"/>
        </w:rPr>
        <w:t xml:space="preserve">To propose a </w:t>
      </w:r>
      <w:r w:rsidR="68FD5C74" w:rsidRPr="3E60D2DB">
        <w:rPr>
          <w:rFonts w:cs="Arial"/>
        </w:rPr>
        <w:t>Medium-Term</w:t>
      </w:r>
      <w:r w:rsidR="00792A7B" w:rsidRPr="3E60D2DB">
        <w:rPr>
          <w:rFonts w:cs="Arial"/>
        </w:rPr>
        <w:t xml:space="preserve"> Financial Strategy and</w:t>
      </w:r>
      <w:r w:rsidR="00942056" w:rsidRPr="3E60D2DB">
        <w:rPr>
          <w:rFonts w:cs="Arial"/>
        </w:rPr>
        <w:t xml:space="preserve"> </w:t>
      </w:r>
      <w:r w:rsidR="00556EE7" w:rsidRPr="3E60D2DB">
        <w:rPr>
          <w:rFonts w:cs="Arial"/>
        </w:rPr>
        <w:t>the</w:t>
      </w:r>
      <w:r w:rsidR="00166E93" w:rsidRPr="3E60D2DB">
        <w:rPr>
          <w:rFonts w:cs="Arial"/>
        </w:rPr>
        <w:t xml:space="preserve"> </w:t>
      </w:r>
      <w:r w:rsidR="00DB1309" w:rsidRPr="3E60D2DB">
        <w:rPr>
          <w:rFonts w:cs="Arial"/>
        </w:rPr>
        <w:t>20</w:t>
      </w:r>
      <w:r w:rsidR="00526981" w:rsidRPr="3E60D2DB">
        <w:rPr>
          <w:rFonts w:cs="Arial"/>
        </w:rPr>
        <w:t>2</w:t>
      </w:r>
      <w:r w:rsidR="00B96FC0">
        <w:rPr>
          <w:rFonts w:cs="Arial"/>
        </w:rPr>
        <w:t>5</w:t>
      </w:r>
      <w:r w:rsidR="00792A7B" w:rsidRPr="3E60D2DB">
        <w:rPr>
          <w:rFonts w:cs="Arial"/>
        </w:rPr>
        <w:t>/</w:t>
      </w:r>
      <w:r w:rsidR="0084493A" w:rsidRPr="3E60D2DB">
        <w:rPr>
          <w:rFonts w:cs="Arial"/>
        </w:rPr>
        <w:t>2</w:t>
      </w:r>
      <w:r w:rsidR="00B96FC0">
        <w:rPr>
          <w:rFonts w:cs="Arial"/>
        </w:rPr>
        <w:t>6</w:t>
      </w:r>
      <w:r w:rsidR="00792A7B" w:rsidRPr="3E60D2DB">
        <w:rPr>
          <w:rFonts w:cs="Arial"/>
        </w:rPr>
        <w:t xml:space="preserve"> Budget for </w:t>
      </w:r>
      <w:proofErr w:type="gramStart"/>
      <w:r w:rsidR="00792A7B" w:rsidRPr="3E60D2DB">
        <w:rPr>
          <w:rFonts w:cs="Arial"/>
        </w:rPr>
        <w:t>consultation</w:t>
      </w:r>
      <w:proofErr w:type="gramEnd"/>
      <w:r>
        <w:tab/>
      </w:r>
      <w:r>
        <w:tab/>
      </w:r>
      <w:r>
        <w:tab/>
      </w:r>
      <w:r>
        <w:tab/>
      </w:r>
      <w:r>
        <w:tab/>
      </w:r>
      <w:r>
        <w:tab/>
      </w:r>
      <w:r>
        <w:tab/>
      </w:r>
      <w:r>
        <w:tab/>
      </w:r>
    </w:p>
    <w:p w14:paraId="20391AC3" w14:textId="77777777" w:rsidR="00166E93" w:rsidRDefault="00166E93" w:rsidP="00942056">
      <w:pPr>
        <w:pStyle w:val="Heading1"/>
        <w:pBdr>
          <w:top w:val="single" w:sz="4" w:space="1" w:color="auto"/>
          <w:left w:val="single" w:sz="4" w:space="0" w:color="auto"/>
          <w:bottom w:val="single" w:sz="4" w:space="1" w:color="auto"/>
          <w:right w:val="single" w:sz="4" w:space="4" w:color="auto"/>
        </w:pBdr>
        <w:tabs>
          <w:tab w:val="left" w:pos="3062"/>
        </w:tabs>
        <w:ind w:right="386"/>
        <w:jc w:val="both"/>
        <w:rPr>
          <w:bCs w:val="0"/>
        </w:rPr>
      </w:pPr>
    </w:p>
    <w:p w14:paraId="49C46EE0" w14:textId="77777777" w:rsidR="00F4367A" w:rsidRPr="0097022F" w:rsidRDefault="00F4367A" w:rsidP="00942056">
      <w:pPr>
        <w:pStyle w:val="Heading1"/>
        <w:pBdr>
          <w:top w:val="single" w:sz="4" w:space="1" w:color="auto"/>
          <w:left w:val="single" w:sz="4" w:space="0" w:color="auto"/>
          <w:bottom w:val="single" w:sz="4" w:space="1" w:color="auto"/>
          <w:right w:val="single" w:sz="4" w:space="4" w:color="auto"/>
        </w:pBdr>
        <w:tabs>
          <w:tab w:val="left" w:pos="3062"/>
        </w:tabs>
        <w:ind w:right="386"/>
        <w:jc w:val="both"/>
        <w:rPr>
          <w:b w:val="0"/>
          <w:bCs w:val="0"/>
        </w:rPr>
      </w:pPr>
      <w:r w:rsidRPr="0097022F">
        <w:rPr>
          <w:bCs w:val="0"/>
        </w:rPr>
        <w:t xml:space="preserve">Key </w:t>
      </w:r>
      <w:r w:rsidR="000833D1" w:rsidRPr="0097022F">
        <w:rPr>
          <w:bCs w:val="0"/>
        </w:rPr>
        <w:t>decision Yes</w:t>
      </w:r>
    </w:p>
    <w:p w14:paraId="0FDE5E85" w14:textId="77777777" w:rsidR="00F4367A" w:rsidRPr="0097022F" w:rsidRDefault="00F4367A" w:rsidP="00942056">
      <w:pPr>
        <w:pBdr>
          <w:top w:val="single" w:sz="4" w:space="1" w:color="auto"/>
          <w:left w:val="single" w:sz="4" w:space="0" w:color="auto"/>
          <w:bottom w:val="single" w:sz="4" w:space="1" w:color="auto"/>
          <w:right w:val="single" w:sz="4" w:space="4" w:color="auto"/>
        </w:pBdr>
        <w:ind w:right="386"/>
        <w:jc w:val="both"/>
        <w:rPr>
          <w:rFonts w:cs="Arial"/>
        </w:rPr>
      </w:pPr>
    </w:p>
    <w:p w14:paraId="60DCD14E" w14:textId="77777777" w:rsidR="00F4367A" w:rsidRPr="0097022F" w:rsidRDefault="00F4367A" w:rsidP="00942056">
      <w:pPr>
        <w:pBdr>
          <w:top w:val="single" w:sz="4" w:space="1" w:color="auto"/>
          <w:left w:val="single" w:sz="4" w:space="0" w:color="auto"/>
          <w:bottom w:val="single" w:sz="4" w:space="1" w:color="auto"/>
          <w:right w:val="single" w:sz="4" w:space="4" w:color="auto"/>
        </w:pBdr>
        <w:ind w:right="386"/>
        <w:jc w:val="both"/>
        <w:rPr>
          <w:rFonts w:cs="Arial"/>
          <w:bCs/>
        </w:rPr>
      </w:pPr>
      <w:r w:rsidRPr="0097022F">
        <w:rPr>
          <w:rFonts w:cs="Arial"/>
          <w:b/>
          <w:bCs/>
        </w:rPr>
        <w:t xml:space="preserve">Executive lead member: </w:t>
      </w:r>
      <w:r w:rsidR="00E0139B" w:rsidRPr="0097022F">
        <w:rPr>
          <w:rFonts w:cs="Arial"/>
          <w:bCs/>
        </w:rPr>
        <w:t>Councillor Ed Turner</w:t>
      </w:r>
    </w:p>
    <w:p w14:paraId="125697FF" w14:textId="77777777" w:rsidR="00F4367A" w:rsidRPr="0097022F" w:rsidRDefault="00F4367A" w:rsidP="00942056">
      <w:pPr>
        <w:pStyle w:val="Heading1"/>
        <w:pBdr>
          <w:top w:val="single" w:sz="4" w:space="1" w:color="auto"/>
          <w:left w:val="single" w:sz="4" w:space="0" w:color="auto"/>
          <w:bottom w:val="single" w:sz="4" w:space="1" w:color="auto"/>
          <w:right w:val="single" w:sz="4" w:space="4" w:color="auto"/>
        </w:pBdr>
        <w:ind w:right="386"/>
        <w:jc w:val="both"/>
      </w:pPr>
    </w:p>
    <w:p w14:paraId="1F11D261" w14:textId="77777777" w:rsidR="00F4367A" w:rsidRPr="0097022F" w:rsidRDefault="00F4367A" w:rsidP="00942056">
      <w:pPr>
        <w:pBdr>
          <w:top w:val="single" w:sz="4" w:space="1" w:color="auto"/>
          <w:left w:val="single" w:sz="4" w:space="0" w:color="auto"/>
          <w:bottom w:val="single" w:sz="4" w:space="1" w:color="auto"/>
          <w:right w:val="single" w:sz="4" w:space="4" w:color="auto"/>
        </w:pBdr>
        <w:ind w:right="386"/>
        <w:jc w:val="both"/>
        <w:rPr>
          <w:rFonts w:cs="Arial"/>
          <w:bCs/>
        </w:rPr>
      </w:pPr>
      <w:r w:rsidRPr="0097022F">
        <w:rPr>
          <w:rFonts w:cs="Arial"/>
          <w:b/>
          <w:bCs/>
        </w:rPr>
        <w:t xml:space="preserve">Policy Framework: </w:t>
      </w:r>
      <w:r w:rsidR="00E0139B" w:rsidRPr="0097022F">
        <w:rPr>
          <w:rFonts w:cs="Arial"/>
          <w:bCs/>
        </w:rPr>
        <w:t xml:space="preserve">The Council’s Corporate </w:t>
      </w:r>
      <w:r w:rsidR="00CD5621">
        <w:rPr>
          <w:rFonts w:cs="Arial"/>
          <w:bCs/>
        </w:rPr>
        <w:t>Strategy</w:t>
      </w:r>
      <w:r w:rsidR="00E408CA">
        <w:rPr>
          <w:rFonts w:cs="Arial"/>
          <w:bCs/>
        </w:rPr>
        <w:t xml:space="preserve"> and Council’s </w:t>
      </w:r>
      <w:r w:rsidR="00594340">
        <w:rPr>
          <w:rFonts w:cs="Arial"/>
          <w:bCs/>
        </w:rPr>
        <w:t>Budget</w:t>
      </w:r>
    </w:p>
    <w:p w14:paraId="09C08452" w14:textId="77777777" w:rsidR="00F4367A" w:rsidRPr="0097022F" w:rsidRDefault="00F4367A" w:rsidP="00942056">
      <w:pPr>
        <w:pStyle w:val="Heading1"/>
        <w:pBdr>
          <w:top w:val="single" w:sz="4" w:space="1" w:color="auto"/>
          <w:left w:val="single" w:sz="4" w:space="0" w:color="auto"/>
          <w:bottom w:val="single" w:sz="4" w:space="1" w:color="auto"/>
          <w:right w:val="single" w:sz="4" w:space="4" w:color="auto"/>
        </w:pBdr>
        <w:ind w:right="386"/>
        <w:jc w:val="both"/>
      </w:pPr>
    </w:p>
    <w:p w14:paraId="39A0F04B" w14:textId="77777777" w:rsidR="00B34AEA" w:rsidRDefault="00F4367A" w:rsidP="00942056">
      <w:pPr>
        <w:pBdr>
          <w:top w:val="single" w:sz="4" w:space="1" w:color="auto"/>
          <w:left w:val="single" w:sz="4" w:space="0" w:color="auto"/>
          <w:bottom w:val="single" w:sz="4" w:space="1" w:color="auto"/>
          <w:right w:val="single" w:sz="4" w:space="4" w:color="auto"/>
        </w:pBdr>
        <w:tabs>
          <w:tab w:val="left" w:pos="3048"/>
        </w:tabs>
        <w:ind w:right="386"/>
        <w:jc w:val="both"/>
        <w:rPr>
          <w:rFonts w:cs="Arial"/>
          <w:b/>
        </w:rPr>
      </w:pPr>
      <w:r w:rsidRPr="0097022F">
        <w:rPr>
          <w:rFonts w:cs="Arial"/>
          <w:b/>
        </w:rPr>
        <w:t xml:space="preserve">Recommendation(s): </w:t>
      </w:r>
      <w:r w:rsidR="00CD3973">
        <w:rPr>
          <w:rFonts w:cs="Arial"/>
          <w:b/>
        </w:rPr>
        <w:t>Th</w:t>
      </w:r>
      <w:r w:rsidR="00511CD4">
        <w:rPr>
          <w:rFonts w:cs="Arial"/>
          <w:b/>
        </w:rPr>
        <w:t>at</w:t>
      </w:r>
      <w:r w:rsidR="00CD3973">
        <w:rPr>
          <w:rFonts w:cs="Arial"/>
          <w:b/>
        </w:rPr>
        <w:t xml:space="preserve"> </w:t>
      </w:r>
      <w:r w:rsidR="00A041EC">
        <w:rPr>
          <w:rFonts w:cs="Arial"/>
          <w:b/>
        </w:rPr>
        <w:t>Cabin</w:t>
      </w:r>
      <w:r w:rsidR="00C52DEE">
        <w:rPr>
          <w:rFonts w:cs="Arial"/>
          <w:b/>
        </w:rPr>
        <w:t>e</w:t>
      </w:r>
      <w:r w:rsidR="00A041EC">
        <w:rPr>
          <w:rFonts w:cs="Arial"/>
          <w:b/>
        </w:rPr>
        <w:t>t</w:t>
      </w:r>
      <w:r w:rsidR="00CD3973">
        <w:rPr>
          <w:rFonts w:cs="Arial"/>
          <w:b/>
        </w:rPr>
        <w:t xml:space="preserve"> </w:t>
      </w:r>
      <w:r w:rsidR="00511CD4">
        <w:rPr>
          <w:rFonts w:cs="Arial"/>
          <w:b/>
        </w:rPr>
        <w:t>resolves</w:t>
      </w:r>
      <w:r w:rsidR="00CD3973">
        <w:rPr>
          <w:rFonts w:cs="Arial"/>
          <w:b/>
        </w:rPr>
        <w:t xml:space="preserve"> to</w:t>
      </w:r>
      <w:r w:rsidR="00694162">
        <w:rPr>
          <w:rFonts w:cs="Arial"/>
          <w:b/>
        </w:rPr>
        <w:t>:</w:t>
      </w:r>
    </w:p>
    <w:p w14:paraId="6E2F310E" w14:textId="77777777" w:rsidR="00694162" w:rsidRDefault="00694162" w:rsidP="00942056">
      <w:pPr>
        <w:pBdr>
          <w:top w:val="single" w:sz="4" w:space="1" w:color="auto"/>
          <w:left w:val="single" w:sz="4" w:space="0" w:color="auto"/>
          <w:bottom w:val="single" w:sz="4" w:space="1" w:color="auto"/>
          <w:right w:val="single" w:sz="4" w:space="4" w:color="auto"/>
        </w:pBdr>
        <w:tabs>
          <w:tab w:val="left" w:pos="3048"/>
        </w:tabs>
        <w:ind w:right="386"/>
        <w:jc w:val="both"/>
        <w:rPr>
          <w:rFonts w:cs="Arial"/>
          <w:b/>
        </w:rPr>
      </w:pPr>
    </w:p>
    <w:p w14:paraId="2379CEB0" w14:textId="70376AE6" w:rsidR="00942056" w:rsidRPr="00761EF1" w:rsidRDefault="00A71F9E" w:rsidP="12B5E433">
      <w:pPr>
        <w:pBdr>
          <w:top w:val="single" w:sz="4" w:space="1" w:color="000000"/>
          <w:left w:val="single" w:sz="4" w:space="0" w:color="000000"/>
          <w:bottom w:val="single" w:sz="4" w:space="1" w:color="000000"/>
          <w:right w:val="single" w:sz="4" w:space="4" w:color="000000"/>
        </w:pBdr>
        <w:tabs>
          <w:tab w:val="left" w:pos="3048"/>
        </w:tabs>
        <w:ind w:left="567" w:right="386" w:hanging="567"/>
        <w:rPr>
          <w:rFonts w:cs="Arial"/>
        </w:rPr>
      </w:pPr>
      <w:r w:rsidRPr="12B5E433">
        <w:rPr>
          <w:rFonts w:cs="Arial"/>
        </w:rPr>
        <w:t>1</w:t>
      </w:r>
      <w:r w:rsidR="00942056" w:rsidRPr="12B5E433">
        <w:rPr>
          <w:rFonts w:cs="Arial"/>
        </w:rPr>
        <w:t>)</w:t>
      </w:r>
      <w:r w:rsidR="00942056" w:rsidRPr="12B5E433">
        <w:rPr>
          <w:rFonts w:cs="Arial"/>
          <w:b/>
          <w:bCs/>
        </w:rPr>
        <w:t xml:space="preserve"> </w:t>
      </w:r>
      <w:r>
        <w:tab/>
      </w:r>
      <w:r w:rsidR="008E2808" w:rsidRPr="12B5E433">
        <w:rPr>
          <w:rFonts w:cs="Arial"/>
        </w:rPr>
        <w:t>A</w:t>
      </w:r>
      <w:r w:rsidR="00942056" w:rsidRPr="12B5E433">
        <w:rPr>
          <w:rFonts w:cs="Arial"/>
        </w:rPr>
        <w:t xml:space="preserve">pprove the </w:t>
      </w:r>
      <w:r w:rsidR="00DB1309" w:rsidRPr="12B5E433">
        <w:rPr>
          <w:rFonts w:cs="Arial"/>
        </w:rPr>
        <w:t>20</w:t>
      </w:r>
      <w:r w:rsidR="00526981" w:rsidRPr="12B5E433">
        <w:rPr>
          <w:rFonts w:cs="Arial"/>
        </w:rPr>
        <w:t>2</w:t>
      </w:r>
      <w:r w:rsidR="00B96FC0">
        <w:rPr>
          <w:rFonts w:cs="Arial"/>
        </w:rPr>
        <w:t>5</w:t>
      </w:r>
      <w:r w:rsidR="00DB1309" w:rsidRPr="12B5E433">
        <w:rPr>
          <w:rFonts w:cs="Arial"/>
        </w:rPr>
        <w:t>-</w:t>
      </w:r>
      <w:r w:rsidR="0084493A" w:rsidRPr="12B5E433">
        <w:rPr>
          <w:rFonts w:cs="Arial"/>
        </w:rPr>
        <w:t>2</w:t>
      </w:r>
      <w:r w:rsidR="00B96FC0">
        <w:rPr>
          <w:rFonts w:cs="Arial"/>
        </w:rPr>
        <w:t>6</w:t>
      </w:r>
      <w:r w:rsidRPr="12B5E433">
        <w:rPr>
          <w:rFonts w:cs="Arial"/>
        </w:rPr>
        <w:t xml:space="preserve"> </w:t>
      </w:r>
      <w:r w:rsidR="000D3814" w:rsidRPr="12B5E433">
        <w:rPr>
          <w:rFonts w:cs="Arial"/>
        </w:rPr>
        <w:t xml:space="preserve">General Fund and Housing Revenue Account </w:t>
      </w:r>
      <w:r w:rsidRPr="12B5E433">
        <w:rPr>
          <w:rFonts w:cs="Arial"/>
        </w:rPr>
        <w:t>budget</w:t>
      </w:r>
      <w:r w:rsidR="000D3814" w:rsidRPr="12B5E433">
        <w:rPr>
          <w:rFonts w:cs="Arial"/>
        </w:rPr>
        <w:t>s</w:t>
      </w:r>
      <w:r w:rsidRPr="12B5E433">
        <w:rPr>
          <w:rFonts w:cs="Arial"/>
        </w:rPr>
        <w:t xml:space="preserve"> for consultation</w:t>
      </w:r>
      <w:r w:rsidR="003B293A" w:rsidRPr="12B5E433">
        <w:rPr>
          <w:rFonts w:cs="Arial"/>
        </w:rPr>
        <w:t xml:space="preserve"> and</w:t>
      </w:r>
      <w:r w:rsidRPr="12B5E433">
        <w:rPr>
          <w:rFonts w:cs="Arial"/>
        </w:rPr>
        <w:t xml:space="preserve"> the </w:t>
      </w:r>
      <w:r w:rsidR="00942056" w:rsidRPr="12B5E433">
        <w:rPr>
          <w:rFonts w:cs="Arial"/>
        </w:rPr>
        <w:t xml:space="preserve">General Fund </w:t>
      </w:r>
      <w:r w:rsidR="379BD160" w:rsidRPr="12B5E433">
        <w:rPr>
          <w:rFonts w:cs="Arial"/>
        </w:rPr>
        <w:t>and Housing</w:t>
      </w:r>
      <w:r w:rsidR="00694162" w:rsidRPr="12B5E433">
        <w:rPr>
          <w:rFonts w:cs="Arial"/>
        </w:rPr>
        <w:t xml:space="preserve"> </w:t>
      </w:r>
      <w:r w:rsidR="00942056" w:rsidRPr="12B5E433">
        <w:rPr>
          <w:rFonts w:cs="Arial"/>
        </w:rPr>
        <w:t>R</w:t>
      </w:r>
      <w:r w:rsidR="00694162" w:rsidRPr="12B5E433">
        <w:rPr>
          <w:rFonts w:cs="Arial"/>
        </w:rPr>
        <w:t xml:space="preserve">evenue Account </w:t>
      </w:r>
      <w:r w:rsidR="00942056" w:rsidRPr="12B5E433">
        <w:rPr>
          <w:rFonts w:cs="Arial"/>
        </w:rPr>
        <w:t xml:space="preserve">Medium Term Financial </w:t>
      </w:r>
      <w:r w:rsidR="00A041EC" w:rsidRPr="12B5E433">
        <w:rPr>
          <w:rFonts w:cs="Arial"/>
        </w:rPr>
        <w:t>Strategy</w:t>
      </w:r>
      <w:r w:rsidR="00942056" w:rsidRPr="12B5E433">
        <w:rPr>
          <w:rFonts w:cs="Arial"/>
        </w:rPr>
        <w:t xml:space="preserve"> as </w:t>
      </w:r>
      <w:r w:rsidR="000D3814" w:rsidRPr="12B5E433">
        <w:rPr>
          <w:rFonts w:cs="Arial"/>
        </w:rPr>
        <w:t xml:space="preserve">set out </w:t>
      </w:r>
      <w:r w:rsidR="7F3D37A5" w:rsidRPr="12B5E433">
        <w:rPr>
          <w:rFonts w:cs="Arial"/>
        </w:rPr>
        <w:t>in Appendices</w:t>
      </w:r>
      <w:r w:rsidR="00942056" w:rsidRPr="12B5E433">
        <w:rPr>
          <w:rFonts w:cs="Arial"/>
        </w:rPr>
        <w:t xml:space="preserve"> 1-</w:t>
      </w:r>
      <w:r w:rsidR="0023288D" w:rsidRPr="12B5E433">
        <w:rPr>
          <w:rFonts w:cs="Arial"/>
        </w:rPr>
        <w:t>10</w:t>
      </w:r>
      <w:r w:rsidR="00F05A6A" w:rsidRPr="12B5E433">
        <w:rPr>
          <w:rFonts w:cs="Arial"/>
        </w:rPr>
        <w:t xml:space="preserve">, </w:t>
      </w:r>
      <w:r w:rsidR="1B25AFC5" w:rsidRPr="12B5E433">
        <w:rPr>
          <w:rFonts w:cs="Arial"/>
        </w:rPr>
        <w:t>noting:</w:t>
      </w:r>
      <w:r>
        <w:br/>
      </w:r>
    </w:p>
    <w:p w14:paraId="12FAFF4C" w14:textId="20CDC1E6" w:rsidR="00942056" w:rsidRPr="003562E8" w:rsidRDefault="00694162" w:rsidP="6F9FB908">
      <w:pPr>
        <w:pBdr>
          <w:top w:val="single" w:sz="4" w:space="1" w:color="auto"/>
          <w:left w:val="single" w:sz="4" w:space="0" w:color="auto"/>
          <w:bottom w:val="single" w:sz="4" w:space="1" w:color="auto"/>
          <w:right w:val="single" w:sz="4" w:space="4" w:color="auto"/>
        </w:pBdr>
        <w:tabs>
          <w:tab w:val="left" w:pos="567"/>
          <w:tab w:val="left" w:pos="3048"/>
        </w:tabs>
        <w:ind w:left="851" w:right="386" w:hanging="851"/>
        <w:rPr>
          <w:rFonts w:cs="Arial"/>
        </w:rPr>
      </w:pPr>
      <w:r w:rsidRPr="6F9FB908">
        <w:rPr>
          <w:rFonts w:cs="Arial"/>
        </w:rPr>
        <w:t xml:space="preserve">      </w:t>
      </w:r>
      <w:r>
        <w:tab/>
      </w:r>
      <w:r w:rsidR="00942056" w:rsidRPr="6F9FB908">
        <w:rPr>
          <w:rFonts w:cs="Arial"/>
        </w:rPr>
        <w:t xml:space="preserve">a) </w:t>
      </w:r>
      <w:r w:rsidR="004C7821" w:rsidRPr="6F9FB908">
        <w:rPr>
          <w:rFonts w:cs="Arial"/>
        </w:rPr>
        <w:t>The</w:t>
      </w:r>
      <w:r w:rsidR="00942056" w:rsidRPr="6F9FB908">
        <w:rPr>
          <w:rFonts w:cs="Arial"/>
        </w:rPr>
        <w:t xml:space="preserve"> Council’s General Fund Budget Requirement of £</w:t>
      </w:r>
      <w:r w:rsidR="00A37BBD" w:rsidRPr="6F9FB908">
        <w:rPr>
          <w:rFonts w:cs="Arial"/>
        </w:rPr>
        <w:t>29.</w:t>
      </w:r>
      <w:r w:rsidR="004D7F12">
        <w:rPr>
          <w:rFonts w:cs="Arial"/>
        </w:rPr>
        <w:t>678</w:t>
      </w:r>
      <w:r w:rsidR="00942056" w:rsidRPr="6F9FB908">
        <w:rPr>
          <w:rFonts w:cs="Arial"/>
        </w:rPr>
        <w:t xml:space="preserve"> million for </w:t>
      </w:r>
      <w:r w:rsidR="003F4A26" w:rsidRPr="6F9FB908">
        <w:rPr>
          <w:rFonts w:cs="Arial"/>
        </w:rPr>
        <w:t xml:space="preserve">  </w:t>
      </w:r>
      <w:r w:rsidR="00942056" w:rsidRPr="6F9FB908">
        <w:rPr>
          <w:rFonts w:cs="Arial"/>
        </w:rPr>
        <w:t>20</w:t>
      </w:r>
      <w:r w:rsidR="00E57B55" w:rsidRPr="6F9FB908">
        <w:rPr>
          <w:rFonts w:cs="Arial"/>
        </w:rPr>
        <w:t>2</w:t>
      </w:r>
      <w:r w:rsidR="00B96FC0" w:rsidRPr="6F9FB908">
        <w:rPr>
          <w:rFonts w:cs="Arial"/>
        </w:rPr>
        <w:t>5</w:t>
      </w:r>
      <w:r w:rsidR="00942056" w:rsidRPr="6F9FB908">
        <w:rPr>
          <w:rFonts w:cs="Arial"/>
        </w:rPr>
        <w:t>/</w:t>
      </w:r>
      <w:r w:rsidR="0084493A" w:rsidRPr="6F9FB908">
        <w:rPr>
          <w:rFonts w:cs="Arial"/>
        </w:rPr>
        <w:t>2</w:t>
      </w:r>
      <w:r w:rsidR="00B96FC0" w:rsidRPr="6F9FB908">
        <w:rPr>
          <w:rFonts w:cs="Arial"/>
        </w:rPr>
        <w:t>6</w:t>
      </w:r>
      <w:r w:rsidR="003F4A26" w:rsidRPr="6F9FB908">
        <w:rPr>
          <w:rFonts w:cs="Arial"/>
        </w:rPr>
        <w:t xml:space="preserve"> </w:t>
      </w:r>
      <w:r w:rsidR="00942056" w:rsidRPr="6F9FB908">
        <w:rPr>
          <w:rFonts w:cs="Arial"/>
        </w:rPr>
        <w:t xml:space="preserve">and an increase in the Band D Council Tax of </w:t>
      </w:r>
      <w:r w:rsidR="004D7F12">
        <w:rPr>
          <w:rFonts w:cs="Arial"/>
        </w:rPr>
        <w:t>2</w:t>
      </w:r>
      <w:r w:rsidR="00942056" w:rsidRPr="6F9FB908">
        <w:rPr>
          <w:rFonts w:cs="Arial"/>
        </w:rPr>
        <w:t>.</w:t>
      </w:r>
      <w:r w:rsidR="00A77B8D" w:rsidRPr="6F9FB908">
        <w:rPr>
          <w:rFonts w:cs="Arial"/>
        </w:rPr>
        <w:t>99</w:t>
      </w:r>
      <w:r w:rsidR="00942056" w:rsidRPr="6F9FB908">
        <w:rPr>
          <w:rFonts w:cs="Arial"/>
        </w:rPr>
        <w:t>% or £</w:t>
      </w:r>
      <w:r w:rsidR="004D7F12">
        <w:rPr>
          <w:rFonts w:cs="Arial"/>
        </w:rPr>
        <w:t>10.36</w:t>
      </w:r>
      <w:r w:rsidR="00942056" w:rsidRPr="6F9FB908">
        <w:rPr>
          <w:rFonts w:cs="Arial"/>
        </w:rPr>
        <w:t xml:space="preserve"> per </w:t>
      </w:r>
      <w:r w:rsidR="00A146A5" w:rsidRPr="6F9FB908">
        <w:rPr>
          <w:rFonts w:cs="Arial"/>
        </w:rPr>
        <w:t>a</w:t>
      </w:r>
      <w:r w:rsidR="00942056" w:rsidRPr="6F9FB908">
        <w:rPr>
          <w:rFonts w:cs="Arial"/>
        </w:rPr>
        <w:t>nnum</w:t>
      </w:r>
      <w:r w:rsidR="003F4A26" w:rsidRPr="6F9FB908">
        <w:rPr>
          <w:rFonts w:cs="Arial"/>
        </w:rPr>
        <w:t xml:space="preserve"> </w:t>
      </w:r>
      <w:r w:rsidR="00942056" w:rsidRPr="6F9FB908">
        <w:rPr>
          <w:rFonts w:cs="Arial"/>
        </w:rPr>
        <w:t>representing a Band D Council Tax of £</w:t>
      </w:r>
      <w:r w:rsidR="004D7F12">
        <w:rPr>
          <w:rFonts w:cs="Arial"/>
        </w:rPr>
        <w:t>356.72</w:t>
      </w:r>
      <w:r w:rsidR="00942056" w:rsidRPr="6F9FB908">
        <w:rPr>
          <w:rFonts w:cs="Arial"/>
        </w:rPr>
        <w:t xml:space="preserve"> per annum</w:t>
      </w:r>
      <w:r w:rsidR="007D0000">
        <w:rPr>
          <w:rFonts w:cs="Arial"/>
        </w:rPr>
        <w:t xml:space="preserve"> </w:t>
      </w:r>
      <w:r w:rsidR="004D7F12">
        <w:rPr>
          <w:rFonts w:cs="Arial"/>
        </w:rPr>
        <w:t xml:space="preserve">assuming it is confirmed that the authority </w:t>
      </w:r>
      <w:proofErr w:type="gramStart"/>
      <w:r w:rsidR="004D7F12">
        <w:rPr>
          <w:rFonts w:cs="Arial"/>
        </w:rPr>
        <w:t>is able to</w:t>
      </w:r>
      <w:proofErr w:type="gramEnd"/>
      <w:r w:rsidR="004D7F12">
        <w:rPr>
          <w:rFonts w:cs="Arial"/>
        </w:rPr>
        <w:t xml:space="preserve"> do so </w:t>
      </w:r>
      <w:r w:rsidR="00344269">
        <w:rPr>
          <w:rFonts w:cs="Arial"/>
        </w:rPr>
        <w:t>(</w:t>
      </w:r>
      <w:r w:rsidR="007D0000">
        <w:rPr>
          <w:rFonts w:cs="Arial"/>
        </w:rPr>
        <w:t>see para 1</w:t>
      </w:r>
      <w:r w:rsidR="00E801E2">
        <w:rPr>
          <w:rFonts w:cs="Arial"/>
        </w:rPr>
        <w:t>4</w:t>
      </w:r>
      <w:r w:rsidR="007D0000">
        <w:rPr>
          <w:rFonts w:cs="Arial"/>
        </w:rPr>
        <w:t xml:space="preserve"> below)</w:t>
      </w:r>
      <w:r w:rsidR="009F222D" w:rsidRPr="6F9FB908">
        <w:rPr>
          <w:rFonts w:cs="Arial"/>
        </w:rPr>
        <w:t xml:space="preserve"> </w:t>
      </w:r>
      <w:r w:rsidR="004B3CE0" w:rsidRPr="6F9FB908">
        <w:rPr>
          <w:rFonts w:cs="Arial"/>
        </w:rPr>
        <w:t xml:space="preserve"> </w:t>
      </w:r>
    </w:p>
    <w:p w14:paraId="4220B36B" w14:textId="77777777" w:rsidR="00A71F9E" w:rsidRPr="003562E8" w:rsidRDefault="00A71F9E" w:rsidP="00416EFF">
      <w:pPr>
        <w:pBdr>
          <w:top w:val="single" w:sz="4" w:space="1" w:color="auto"/>
          <w:left w:val="single" w:sz="4" w:space="0" w:color="auto"/>
          <w:bottom w:val="single" w:sz="4" w:space="1" w:color="auto"/>
          <w:right w:val="single" w:sz="4" w:space="4" w:color="auto"/>
        </w:pBdr>
        <w:tabs>
          <w:tab w:val="left" w:pos="567"/>
          <w:tab w:val="left" w:pos="3048"/>
        </w:tabs>
        <w:ind w:right="386"/>
        <w:rPr>
          <w:rFonts w:cs="Arial"/>
        </w:rPr>
      </w:pPr>
    </w:p>
    <w:p w14:paraId="7B8FDB2C" w14:textId="42091B32" w:rsidR="001005F5" w:rsidRPr="00E35947" w:rsidRDefault="00694162" w:rsidP="00416EFF">
      <w:pPr>
        <w:pBdr>
          <w:top w:val="single" w:sz="4" w:space="1" w:color="auto"/>
          <w:left w:val="single" w:sz="4" w:space="0" w:color="auto"/>
          <w:bottom w:val="single" w:sz="4" w:space="1" w:color="auto"/>
          <w:right w:val="single" w:sz="4" w:space="4" w:color="auto"/>
        </w:pBdr>
        <w:tabs>
          <w:tab w:val="left" w:pos="567"/>
        </w:tabs>
        <w:ind w:left="851" w:right="386" w:hanging="851"/>
        <w:rPr>
          <w:rFonts w:cs="Arial"/>
        </w:rPr>
      </w:pPr>
      <w:r w:rsidRPr="003562E8">
        <w:rPr>
          <w:rFonts w:cs="Arial"/>
        </w:rPr>
        <w:t xml:space="preserve">     </w:t>
      </w:r>
      <w:r w:rsidR="003F4A26" w:rsidRPr="003562E8">
        <w:rPr>
          <w:rFonts w:cs="Arial"/>
        </w:rPr>
        <w:tab/>
      </w:r>
      <w:r w:rsidR="0059228F" w:rsidRPr="002C5B80">
        <w:rPr>
          <w:rFonts w:cs="Arial"/>
        </w:rPr>
        <w:t>b</w:t>
      </w:r>
      <w:r w:rsidR="00942056" w:rsidRPr="002C5B80">
        <w:rPr>
          <w:rFonts w:cs="Arial"/>
        </w:rPr>
        <w:t xml:space="preserve">) </w:t>
      </w:r>
      <w:r w:rsidR="004C7821" w:rsidRPr="002C5B80">
        <w:rPr>
          <w:rFonts w:cs="Arial"/>
        </w:rPr>
        <w:t>The</w:t>
      </w:r>
      <w:r w:rsidR="00942056" w:rsidRPr="002C5B80">
        <w:rPr>
          <w:rFonts w:cs="Arial"/>
        </w:rPr>
        <w:t xml:space="preserve"> Housing Revenue Account budget for 20</w:t>
      </w:r>
      <w:r w:rsidR="00C52DEE" w:rsidRPr="002C5B80">
        <w:rPr>
          <w:rFonts w:cs="Arial"/>
        </w:rPr>
        <w:t>2</w:t>
      </w:r>
      <w:r w:rsidR="00E35947" w:rsidRPr="002C5B80">
        <w:rPr>
          <w:rFonts w:cs="Arial"/>
        </w:rPr>
        <w:t>5</w:t>
      </w:r>
      <w:r w:rsidR="00942056" w:rsidRPr="002C5B80">
        <w:rPr>
          <w:rFonts w:cs="Arial"/>
        </w:rPr>
        <w:t>/</w:t>
      </w:r>
      <w:r w:rsidR="0084493A" w:rsidRPr="002C5B80">
        <w:rPr>
          <w:rFonts w:cs="Arial"/>
        </w:rPr>
        <w:t>2</w:t>
      </w:r>
      <w:r w:rsidR="00E35947" w:rsidRPr="002C5B80">
        <w:rPr>
          <w:rFonts w:cs="Arial"/>
        </w:rPr>
        <w:t>6</w:t>
      </w:r>
      <w:r w:rsidR="00942056" w:rsidRPr="002C5B80">
        <w:rPr>
          <w:rFonts w:cs="Arial"/>
        </w:rPr>
        <w:t xml:space="preserve"> </w:t>
      </w:r>
      <w:r w:rsidR="001005F5" w:rsidRPr="009C3617">
        <w:rPr>
          <w:rFonts w:cs="Arial"/>
        </w:rPr>
        <w:t>of £</w:t>
      </w:r>
      <w:r w:rsidR="009C3617">
        <w:rPr>
          <w:rFonts w:cs="Arial"/>
        </w:rPr>
        <w:t>54.810</w:t>
      </w:r>
      <w:r w:rsidR="001005F5" w:rsidRPr="002C5B80">
        <w:rPr>
          <w:rFonts w:cs="Arial"/>
        </w:rPr>
        <w:t xml:space="preserve"> million </w:t>
      </w:r>
      <w:r w:rsidR="00942056" w:rsidRPr="002C5B80">
        <w:rPr>
          <w:rFonts w:cs="Arial"/>
        </w:rPr>
        <w:t>and a</w:t>
      </w:r>
      <w:r w:rsidR="00832276" w:rsidRPr="002C5B80">
        <w:rPr>
          <w:rFonts w:cs="Arial"/>
        </w:rPr>
        <w:t>n</w:t>
      </w:r>
      <w:r w:rsidR="00942056" w:rsidRPr="002C5B80">
        <w:rPr>
          <w:rFonts w:cs="Arial"/>
        </w:rPr>
        <w:t xml:space="preserve"> </w:t>
      </w:r>
      <w:r w:rsidR="00832276" w:rsidRPr="002C5B80">
        <w:rPr>
          <w:rFonts w:cs="Arial"/>
        </w:rPr>
        <w:t xml:space="preserve">increase </w:t>
      </w:r>
      <w:r w:rsidR="00ED5CA8" w:rsidRPr="002C5B80">
        <w:rPr>
          <w:rFonts w:cs="Arial"/>
        </w:rPr>
        <w:t xml:space="preserve">of </w:t>
      </w:r>
      <w:r w:rsidR="00547A56" w:rsidRPr="002C5B80">
        <w:rPr>
          <w:rFonts w:cs="Arial"/>
        </w:rPr>
        <w:t>2</w:t>
      </w:r>
      <w:r w:rsidR="006A45E5" w:rsidRPr="002C5B80">
        <w:rPr>
          <w:rFonts w:cs="Arial"/>
        </w:rPr>
        <w:t>.7</w:t>
      </w:r>
      <w:r w:rsidR="00DE3FBB" w:rsidRPr="002C5B80">
        <w:rPr>
          <w:rFonts w:cs="Arial"/>
        </w:rPr>
        <w:t>% (</w:t>
      </w:r>
      <w:r w:rsidR="00EF69AB" w:rsidRPr="002C5B80">
        <w:rPr>
          <w:rFonts w:cs="Arial"/>
        </w:rPr>
        <w:t xml:space="preserve">average of </w:t>
      </w:r>
      <w:r w:rsidR="00ED5CA8" w:rsidRPr="002C5B80">
        <w:rPr>
          <w:rFonts w:cs="Arial"/>
        </w:rPr>
        <w:t>£</w:t>
      </w:r>
      <w:r w:rsidR="00EF69AB" w:rsidRPr="002C5B80">
        <w:rPr>
          <w:rFonts w:cs="Arial"/>
        </w:rPr>
        <w:t>3.51</w:t>
      </w:r>
      <w:r w:rsidR="00511CD4" w:rsidRPr="002C5B80">
        <w:rPr>
          <w:rFonts w:cs="Arial"/>
        </w:rPr>
        <w:t xml:space="preserve"> per week</w:t>
      </w:r>
      <w:r w:rsidR="00ED5CA8" w:rsidRPr="002C5B80">
        <w:rPr>
          <w:rFonts w:cs="Arial"/>
        </w:rPr>
        <w:t xml:space="preserve">) in </w:t>
      </w:r>
      <w:r w:rsidR="001A7147" w:rsidRPr="002C5B80">
        <w:rPr>
          <w:rFonts w:cs="Arial"/>
        </w:rPr>
        <w:t xml:space="preserve">social </w:t>
      </w:r>
      <w:r w:rsidR="00942056" w:rsidRPr="002C5B80">
        <w:rPr>
          <w:rFonts w:cs="Arial"/>
        </w:rPr>
        <w:t>dwelling rent</w:t>
      </w:r>
      <w:r w:rsidR="001A7147" w:rsidRPr="002C5B80">
        <w:rPr>
          <w:rFonts w:cs="Arial"/>
        </w:rPr>
        <w:t>s</w:t>
      </w:r>
      <w:r w:rsidR="00942056" w:rsidRPr="002C5B80">
        <w:rPr>
          <w:rFonts w:cs="Arial"/>
        </w:rPr>
        <w:t xml:space="preserve"> </w:t>
      </w:r>
      <w:r w:rsidRPr="002C5B80">
        <w:rPr>
          <w:rFonts w:cs="Arial"/>
        </w:rPr>
        <w:t>fr</w:t>
      </w:r>
      <w:r w:rsidR="005501CA" w:rsidRPr="002C5B80">
        <w:rPr>
          <w:rFonts w:cs="Arial"/>
        </w:rPr>
        <w:t>om</w:t>
      </w:r>
      <w:r w:rsidRPr="002C5B80">
        <w:rPr>
          <w:rFonts w:cs="Arial"/>
        </w:rPr>
        <w:t xml:space="preserve"> </w:t>
      </w:r>
      <w:r w:rsidR="00C52DEE" w:rsidRPr="002C5B80">
        <w:rPr>
          <w:rFonts w:cs="Arial"/>
        </w:rPr>
        <w:t xml:space="preserve">1 </w:t>
      </w:r>
      <w:r w:rsidR="00DE3FBB" w:rsidRPr="002C5B80">
        <w:rPr>
          <w:rFonts w:cs="Arial"/>
        </w:rPr>
        <w:t>April 20</w:t>
      </w:r>
      <w:r w:rsidR="00832276" w:rsidRPr="002C5B80">
        <w:rPr>
          <w:rFonts w:cs="Arial"/>
        </w:rPr>
        <w:t>2</w:t>
      </w:r>
      <w:r w:rsidR="00EC2ACA">
        <w:rPr>
          <w:rFonts w:cs="Arial"/>
        </w:rPr>
        <w:t>5</w:t>
      </w:r>
      <w:r w:rsidR="008E7C41" w:rsidRPr="002C5B80">
        <w:rPr>
          <w:rFonts w:cs="Arial"/>
        </w:rPr>
        <w:t xml:space="preserve"> </w:t>
      </w:r>
      <w:r w:rsidR="006E289A" w:rsidRPr="002C5B80">
        <w:rPr>
          <w:rFonts w:cs="Arial"/>
        </w:rPr>
        <w:t>(see paragraphs 7</w:t>
      </w:r>
      <w:r w:rsidR="00EC2ACA">
        <w:rPr>
          <w:rFonts w:cs="Arial"/>
        </w:rPr>
        <w:t>6</w:t>
      </w:r>
      <w:r w:rsidR="006E289A" w:rsidRPr="002C5B80">
        <w:rPr>
          <w:rFonts w:cs="Arial"/>
        </w:rPr>
        <w:t>-</w:t>
      </w:r>
      <w:r w:rsidR="009E4621" w:rsidRPr="002C5B80">
        <w:rPr>
          <w:rFonts w:cs="Arial"/>
        </w:rPr>
        <w:t>7</w:t>
      </w:r>
      <w:r w:rsidR="00EC2ACA">
        <w:rPr>
          <w:rFonts w:cs="Arial"/>
        </w:rPr>
        <w:t>8</w:t>
      </w:r>
      <w:r w:rsidR="006E289A" w:rsidRPr="002C5B80">
        <w:rPr>
          <w:rFonts w:cs="Arial"/>
        </w:rPr>
        <w:t xml:space="preserve">) </w:t>
      </w:r>
      <w:r w:rsidR="008E2808" w:rsidRPr="002C5B80">
        <w:rPr>
          <w:rFonts w:cs="Arial"/>
        </w:rPr>
        <w:t>giving</w:t>
      </w:r>
      <w:r w:rsidR="001A7147" w:rsidRPr="002C5B80">
        <w:rPr>
          <w:rFonts w:cs="Arial"/>
        </w:rPr>
        <w:t xml:space="preserve"> a </w:t>
      </w:r>
      <w:r w:rsidR="00ED5CA8" w:rsidRPr="002C5B80">
        <w:rPr>
          <w:rFonts w:cs="Arial"/>
        </w:rPr>
        <w:t xml:space="preserve">revised </w:t>
      </w:r>
      <w:r w:rsidR="001A7147" w:rsidRPr="002C5B80">
        <w:rPr>
          <w:rFonts w:cs="Arial"/>
        </w:rPr>
        <w:t>weekly average social rent of £1</w:t>
      </w:r>
      <w:r w:rsidR="00EF69AB" w:rsidRPr="002C5B80">
        <w:rPr>
          <w:rFonts w:cs="Arial"/>
        </w:rPr>
        <w:t>33</w:t>
      </w:r>
      <w:r w:rsidR="002C5B80" w:rsidRPr="002C5B80">
        <w:rPr>
          <w:rFonts w:cs="Arial"/>
        </w:rPr>
        <w:t>.68</w:t>
      </w:r>
      <w:r w:rsidR="00942056" w:rsidRPr="002C5B80">
        <w:rPr>
          <w:rFonts w:cs="Arial"/>
        </w:rPr>
        <w:t xml:space="preserve"> as set out in Appendix</w:t>
      </w:r>
      <w:r w:rsidR="001005F5" w:rsidRPr="002C5B80">
        <w:rPr>
          <w:rFonts w:cs="Arial"/>
        </w:rPr>
        <w:t xml:space="preserve"> </w:t>
      </w:r>
      <w:r w:rsidR="00C52DEE" w:rsidRPr="002C5B80">
        <w:rPr>
          <w:rFonts w:cs="Arial"/>
        </w:rPr>
        <w:t>5</w:t>
      </w:r>
    </w:p>
    <w:p w14:paraId="58D815E1" w14:textId="77777777" w:rsidR="00A00FF0" w:rsidRPr="00E35947" w:rsidRDefault="00A00FF0" w:rsidP="00416EFF">
      <w:pPr>
        <w:pBdr>
          <w:top w:val="single" w:sz="4" w:space="1" w:color="auto"/>
          <w:left w:val="single" w:sz="4" w:space="0" w:color="auto"/>
          <w:bottom w:val="single" w:sz="4" w:space="1" w:color="auto"/>
          <w:right w:val="single" w:sz="4" w:space="4" w:color="auto"/>
        </w:pBdr>
        <w:tabs>
          <w:tab w:val="left" w:pos="567"/>
        </w:tabs>
        <w:ind w:left="851" w:right="386" w:hanging="851"/>
        <w:rPr>
          <w:rFonts w:cs="Arial"/>
        </w:rPr>
      </w:pPr>
    </w:p>
    <w:p w14:paraId="74CC2BFB" w14:textId="09F9BB87" w:rsidR="00A00FF0" w:rsidRPr="00EE0E28" w:rsidRDefault="00A00FF0" w:rsidP="00416EFF">
      <w:pPr>
        <w:pBdr>
          <w:top w:val="single" w:sz="4" w:space="1" w:color="auto"/>
          <w:left w:val="single" w:sz="4" w:space="0" w:color="auto"/>
          <w:bottom w:val="single" w:sz="4" w:space="1" w:color="auto"/>
          <w:right w:val="single" w:sz="4" w:space="4" w:color="auto"/>
        </w:pBdr>
        <w:tabs>
          <w:tab w:val="left" w:pos="567"/>
        </w:tabs>
        <w:ind w:left="851" w:right="386" w:hanging="851"/>
        <w:rPr>
          <w:rFonts w:cs="Arial"/>
        </w:rPr>
      </w:pPr>
      <w:r w:rsidRPr="00EE0E28">
        <w:rPr>
          <w:rFonts w:cs="Arial"/>
        </w:rPr>
        <w:tab/>
        <w:t xml:space="preserve">c) </w:t>
      </w:r>
      <w:r w:rsidR="00E2026C" w:rsidRPr="00EE0E28">
        <w:rPr>
          <w:rFonts w:cs="Arial"/>
        </w:rPr>
        <w:t>T</w:t>
      </w:r>
      <w:r w:rsidRPr="00EE0E28">
        <w:rPr>
          <w:rFonts w:cs="Arial"/>
        </w:rPr>
        <w:t>he increase in shared ownership rental in accordance with the lease as shown in paragraph</w:t>
      </w:r>
      <w:r w:rsidR="00B9461F" w:rsidRPr="00EE0E28">
        <w:rPr>
          <w:rFonts w:cs="Arial"/>
        </w:rPr>
        <w:t xml:space="preserve"> </w:t>
      </w:r>
      <w:r w:rsidR="00EE0E28" w:rsidRPr="00EE0E28">
        <w:rPr>
          <w:rFonts w:cs="Arial"/>
        </w:rPr>
        <w:t>7</w:t>
      </w:r>
      <w:r w:rsidR="00EC2ACA">
        <w:rPr>
          <w:rFonts w:cs="Arial"/>
        </w:rPr>
        <w:t>9-80</w:t>
      </w:r>
      <w:r w:rsidR="00B9461F" w:rsidRPr="00EE0E28">
        <w:rPr>
          <w:rFonts w:cs="Arial"/>
        </w:rPr>
        <w:t xml:space="preserve"> </w:t>
      </w:r>
    </w:p>
    <w:p w14:paraId="48A282B1" w14:textId="77777777" w:rsidR="003562E8" w:rsidRPr="00EE0E28" w:rsidRDefault="003562E8" w:rsidP="00416EFF">
      <w:pPr>
        <w:pBdr>
          <w:top w:val="single" w:sz="4" w:space="1" w:color="auto"/>
          <w:left w:val="single" w:sz="4" w:space="0" w:color="auto"/>
          <w:bottom w:val="single" w:sz="4" w:space="1" w:color="auto"/>
          <w:right w:val="single" w:sz="4" w:space="4" w:color="auto"/>
        </w:pBdr>
        <w:tabs>
          <w:tab w:val="left" w:pos="567"/>
        </w:tabs>
        <w:ind w:left="851" w:right="386" w:hanging="851"/>
        <w:rPr>
          <w:rFonts w:cs="Arial"/>
        </w:rPr>
      </w:pPr>
    </w:p>
    <w:p w14:paraId="03B720DA" w14:textId="43E54236" w:rsidR="00AC1E36" w:rsidRPr="00B96FC0" w:rsidRDefault="00B92EC7" w:rsidP="00416EFF">
      <w:pPr>
        <w:pBdr>
          <w:top w:val="single" w:sz="4" w:space="1" w:color="auto"/>
          <w:left w:val="single" w:sz="4" w:space="0" w:color="auto"/>
          <w:bottom w:val="single" w:sz="4" w:space="1" w:color="auto"/>
          <w:right w:val="single" w:sz="4" w:space="4" w:color="auto"/>
        </w:pBdr>
        <w:tabs>
          <w:tab w:val="left" w:pos="567"/>
          <w:tab w:val="left" w:pos="3048"/>
        </w:tabs>
        <w:ind w:left="851" w:right="386" w:hanging="851"/>
        <w:rPr>
          <w:rFonts w:cs="Arial"/>
        </w:rPr>
      </w:pPr>
      <w:r w:rsidRPr="00EE0E28">
        <w:rPr>
          <w:rFonts w:cs="Arial"/>
        </w:rPr>
        <w:tab/>
        <w:t>d</w:t>
      </w:r>
      <w:r w:rsidR="00AC1E36" w:rsidRPr="00EE0E28">
        <w:rPr>
          <w:rFonts w:cs="Arial"/>
        </w:rPr>
        <w:t>)</w:t>
      </w:r>
      <w:r w:rsidR="0059228F" w:rsidRPr="1EDB5DC6">
        <w:rPr>
          <w:rFonts w:cs="Arial"/>
        </w:rPr>
        <w:t xml:space="preserve"> </w:t>
      </w:r>
      <w:r w:rsidR="00416EFF" w:rsidRPr="1EDB5DC6">
        <w:rPr>
          <w:rFonts w:cs="Arial"/>
        </w:rPr>
        <w:t xml:space="preserve"> </w:t>
      </w:r>
      <w:r w:rsidR="004C7821" w:rsidRPr="1EDB5DC6">
        <w:rPr>
          <w:rFonts w:cs="Arial"/>
        </w:rPr>
        <w:t>The</w:t>
      </w:r>
      <w:r w:rsidR="00AC1E36" w:rsidRPr="1EDB5DC6">
        <w:rPr>
          <w:rFonts w:cs="Arial"/>
        </w:rPr>
        <w:t xml:space="preserve"> General Fund</w:t>
      </w:r>
      <w:r w:rsidR="00556EE7" w:rsidRPr="1EDB5DC6">
        <w:rPr>
          <w:rFonts w:cs="Arial"/>
        </w:rPr>
        <w:t xml:space="preserve"> </w:t>
      </w:r>
      <w:r w:rsidR="00AC1E36" w:rsidRPr="1EDB5DC6">
        <w:rPr>
          <w:rFonts w:cs="Arial"/>
        </w:rPr>
        <w:t>and Housing Revenue Account Capital Programme as shown i</w:t>
      </w:r>
      <w:r w:rsidR="0059228F" w:rsidRPr="1EDB5DC6">
        <w:rPr>
          <w:rFonts w:cs="Arial"/>
        </w:rPr>
        <w:t>n</w:t>
      </w:r>
      <w:r w:rsidR="00AC1E36" w:rsidRPr="1EDB5DC6">
        <w:rPr>
          <w:rFonts w:cs="Arial"/>
        </w:rPr>
        <w:t xml:space="preserve"> Appendix </w:t>
      </w:r>
      <w:r w:rsidR="00E70508" w:rsidRPr="1EDB5DC6">
        <w:rPr>
          <w:rFonts w:cs="Arial"/>
        </w:rPr>
        <w:t>6</w:t>
      </w:r>
      <w:r w:rsidR="00AC1E36" w:rsidRPr="1EDB5DC6">
        <w:rPr>
          <w:rFonts w:cs="Arial"/>
        </w:rPr>
        <w:t>.</w:t>
      </w:r>
    </w:p>
    <w:p w14:paraId="23740664" w14:textId="77777777" w:rsidR="001005F5" w:rsidRPr="00B96FC0" w:rsidRDefault="001005F5" w:rsidP="007B3F5D">
      <w:pPr>
        <w:pBdr>
          <w:top w:val="single" w:sz="4" w:space="1" w:color="auto"/>
          <w:left w:val="single" w:sz="4" w:space="0" w:color="auto"/>
          <w:bottom w:val="single" w:sz="4" w:space="1" w:color="auto"/>
          <w:right w:val="single" w:sz="4" w:space="4" w:color="auto"/>
        </w:pBdr>
        <w:tabs>
          <w:tab w:val="left" w:pos="3048"/>
        </w:tabs>
        <w:ind w:left="709" w:right="386" w:hanging="709"/>
        <w:rPr>
          <w:rFonts w:cs="Arial"/>
          <w:highlight w:val="yellow"/>
        </w:rPr>
      </w:pPr>
    </w:p>
    <w:p w14:paraId="3525F0D6" w14:textId="77777777" w:rsidR="00AB541D" w:rsidRPr="00B96FC0" w:rsidRDefault="008E2808" w:rsidP="00A22A47">
      <w:pPr>
        <w:pBdr>
          <w:top w:val="single" w:sz="4" w:space="1" w:color="auto"/>
          <w:left w:val="single" w:sz="4" w:space="0" w:color="auto"/>
          <w:bottom w:val="single" w:sz="4" w:space="1" w:color="auto"/>
          <w:right w:val="single" w:sz="4" w:space="4" w:color="auto"/>
        </w:pBdr>
        <w:tabs>
          <w:tab w:val="left" w:pos="3048"/>
        </w:tabs>
        <w:ind w:left="709" w:right="386" w:hanging="709"/>
        <w:rPr>
          <w:rFonts w:cs="Arial"/>
        </w:rPr>
      </w:pPr>
      <w:r w:rsidRPr="1EDB5DC6">
        <w:rPr>
          <w:rFonts w:cs="Arial"/>
        </w:rPr>
        <w:t xml:space="preserve">2) </w:t>
      </w:r>
      <w:r w:rsidR="00957544" w:rsidRPr="1EDB5DC6">
        <w:rPr>
          <w:rFonts w:cs="Arial"/>
        </w:rPr>
        <w:t xml:space="preserve">   </w:t>
      </w:r>
      <w:r w:rsidRPr="1EDB5DC6">
        <w:rPr>
          <w:rFonts w:cs="Arial"/>
        </w:rPr>
        <w:t>A</w:t>
      </w:r>
      <w:r w:rsidR="00334403" w:rsidRPr="1EDB5DC6">
        <w:rPr>
          <w:rFonts w:cs="Arial"/>
        </w:rPr>
        <w:t xml:space="preserve">gree the fees and charges shown in Appendix </w:t>
      </w:r>
      <w:r w:rsidR="0059228F" w:rsidRPr="1EDB5DC6">
        <w:rPr>
          <w:rFonts w:cs="Arial"/>
        </w:rPr>
        <w:t>7</w:t>
      </w:r>
      <w:r w:rsidR="00334403" w:rsidRPr="1EDB5DC6">
        <w:rPr>
          <w:rFonts w:cs="Arial"/>
        </w:rPr>
        <w:t xml:space="preserve"> </w:t>
      </w:r>
    </w:p>
    <w:p w14:paraId="0B9518AA" w14:textId="77777777" w:rsidR="00526741" w:rsidRPr="00B96FC0" w:rsidRDefault="00526741" w:rsidP="00A22A47">
      <w:pPr>
        <w:pBdr>
          <w:top w:val="single" w:sz="4" w:space="1" w:color="auto"/>
          <w:left w:val="single" w:sz="4" w:space="0" w:color="auto"/>
          <w:bottom w:val="single" w:sz="4" w:space="1" w:color="auto"/>
          <w:right w:val="single" w:sz="4" w:space="4" w:color="auto"/>
        </w:pBdr>
        <w:tabs>
          <w:tab w:val="left" w:pos="3048"/>
        </w:tabs>
        <w:ind w:left="709" w:right="386" w:hanging="709"/>
        <w:rPr>
          <w:rFonts w:cs="Arial"/>
          <w:highlight w:val="yellow"/>
        </w:rPr>
      </w:pPr>
    </w:p>
    <w:p w14:paraId="71DFD9D7" w14:textId="13F28B80" w:rsidR="00023727" w:rsidRPr="00104315" w:rsidRDefault="00526741" w:rsidP="00526741">
      <w:pPr>
        <w:pBdr>
          <w:top w:val="single" w:sz="4" w:space="1" w:color="auto"/>
          <w:left w:val="single" w:sz="4" w:space="0" w:color="auto"/>
          <w:bottom w:val="single" w:sz="4" w:space="1" w:color="auto"/>
          <w:right w:val="single" w:sz="4" w:space="4" w:color="auto"/>
        </w:pBdr>
        <w:tabs>
          <w:tab w:val="left" w:pos="3048"/>
        </w:tabs>
        <w:ind w:left="426" w:right="386" w:hanging="426"/>
        <w:rPr>
          <w:rFonts w:cs="Arial"/>
        </w:rPr>
      </w:pPr>
      <w:r w:rsidRPr="1EDB5DC6">
        <w:rPr>
          <w:rFonts w:cs="Arial"/>
        </w:rPr>
        <w:lastRenderedPageBreak/>
        <w:t xml:space="preserve">3)   </w:t>
      </w:r>
      <w:r w:rsidR="0084493A" w:rsidRPr="1EDB5DC6">
        <w:rPr>
          <w:rFonts w:cs="Arial"/>
        </w:rPr>
        <w:t>Delegate to the Section 151 Officer in consultation with the Board Member for</w:t>
      </w:r>
      <w:r w:rsidR="0084493A">
        <w:br/>
      </w:r>
      <w:r w:rsidR="0084493A" w:rsidRPr="1EDB5DC6">
        <w:rPr>
          <w:rFonts w:cs="Arial"/>
        </w:rPr>
        <w:t xml:space="preserve">Finance and Assets the decision to determine whether it is financially advantageous for the Council to enter </w:t>
      </w:r>
      <w:r w:rsidR="0084493A" w:rsidRPr="00104315">
        <w:rPr>
          <w:rFonts w:cs="Arial"/>
        </w:rPr>
        <w:t xml:space="preserve">into a Business Rates Distribution Agreement as referred to in paragraphs </w:t>
      </w:r>
      <w:r w:rsidR="00104315" w:rsidRPr="00104315">
        <w:rPr>
          <w:rFonts w:cs="Arial"/>
        </w:rPr>
        <w:t>2</w:t>
      </w:r>
      <w:r w:rsidR="00E801E2">
        <w:rPr>
          <w:rFonts w:cs="Arial"/>
        </w:rPr>
        <w:t>3</w:t>
      </w:r>
      <w:r w:rsidR="00FE7CC9" w:rsidRPr="00104315">
        <w:rPr>
          <w:rFonts w:cs="Arial"/>
        </w:rPr>
        <w:t>-</w:t>
      </w:r>
      <w:r w:rsidR="00104315" w:rsidRPr="00104315">
        <w:rPr>
          <w:rFonts w:cs="Arial"/>
        </w:rPr>
        <w:t>2</w:t>
      </w:r>
      <w:r w:rsidR="00E801E2">
        <w:rPr>
          <w:rFonts w:cs="Arial"/>
        </w:rPr>
        <w:t>4</w:t>
      </w:r>
      <w:r w:rsidR="0084493A" w:rsidRPr="00104315">
        <w:rPr>
          <w:rFonts w:cs="Arial"/>
        </w:rPr>
        <w:t xml:space="preserve"> </w:t>
      </w:r>
      <w:r w:rsidR="00511CD4" w:rsidRPr="00104315">
        <w:rPr>
          <w:rFonts w:cs="Arial"/>
        </w:rPr>
        <w:t>of the report</w:t>
      </w:r>
      <w:r w:rsidR="0084493A" w:rsidRPr="00104315">
        <w:rPr>
          <w:rFonts w:cs="Arial"/>
        </w:rPr>
        <w:t>.</w:t>
      </w:r>
    </w:p>
    <w:p w14:paraId="3F07F5E7" w14:textId="55FFEC74" w:rsidR="006D6996" w:rsidRPr="00B96FC0" w:rsidRDefault="006D6996" w:rsidP="00526741">
      <w:pPr>
        <w:pBdr>
          <w:top w:val="single" w:sz="4" w:space="1" w:color="auto"/>
          <w:left w:val="single" w:sz="4" w:space="0" w:color="auto"/>
          <w:bottom w:val="single" w:sz="4" w:space="1" w:color="auto"/>
          <w:right w:val="single" w:sz="4" w:space="4" w:color="auto"/>
        </w:pBdr>
        <w:tabs>
          <w:tab w:val="left" w:pos="3048"/>
        </w:tabs>
        <w:ind w:left="426" w:right="386" w:hanging="426"/>
        <w:rPr>
          <w:rFonts w:cs="Arial"/>
          <w:highlight w:val="yellow"/>
        </w:rPr>
      </w:pPr>
    </w:p>
    <w:p w14:paraId="4E0BAED9" w14:textId="7066E449" w:rsidR="004C0DAC" w:rsidRPr="00B96FC0" w:rsidRDefault="004C0DAC" w:rsidP="00526741">
      <w:pPr>
        <w:pBdr>
          <w:top w:val="single" w:sz="4" w:space="1" w:color="auto"/>
          <w:left w:val="single" w:sz="4" w:space="0" w:color="auto"/>
          <w:bottom w:val="single" w:sz="4" w:space="1" w:color="auto"/>
          <w:right w:val="single" w:sz="4" w:space="4" w:color="auto"/>
        </w:pBdr>
        <w:tabs>
          <w:tab w:val="left" w:pos="3048"/>
        </w:tabs>
        <w:ind w:left="426" w:right="386" w:hanging="426"/>
        <w:rPr>
          <w:rFonts w:cs="Arial"/>
          <w:highlight w:val="yellow"/>
        </w:rPr>
      </w:pPr>
    </w:p>
    <w:p w14:paraId="0B256620" w14:textId="77777777" w:rsidR="00CA595A" w:rsidRPr="00B96FC0" w:rsidRDefault="00CA595A" w:rsidP="00942056">
      <w:pPr>
        <w:tabs>
          <w:tab w:val="left" w:pos="567"/>
        </w:tabs>
        <w:ind w:left="567" w:right="386" w:hanging="567"/>
        <w:jc w:val="both"/>
        <w:rPr>
          <w:b/>
          <w:highlight w:val="yellow"/>
        </w:rPr>
      </w:pPr>
    </w:p>
    <w:p w14:paraId="01ED4E1D" w14:textId="77777777" w:rsidR="007A3B37" w:rsidRPr="00E452F0" w:rsidRDefault="003C3043" w:rsidP="00942056">
      <w:pPr>
        <w:tabs>
          <w:tab w:val="left" w:pos="567"/>
        </w:tabs>
        <w:ind w:left="567" w:right="386" w:hanging="567"/>
        <w:jc w:val="both"/>
        <w:rPr>
          <w:b/>
        </w:rPr>
      </w:pPr>
      <w:r w:rsidRPr="00E452F0">
        <w:rPr>
          <w:b/>
        </w:rPr>
        <w:t>Appendices to the report</w:t>
      </w:r>
    </w:p>
    <w:p w14:paraId="07DA720D" w14:textId="3547A46B" w:rsidR="005C72B1" w:rsidRPr="00E452F0" w:rsidRDefault="005C72B1" w:rsidP="00942056">
      <w:pPr>
        <w:tabs>
          <w:tab w:val="left" w:pos="567"/>
        </w:tabs>
        <w:ind w:left="567" w:right="386" w:hanging="567"/>
        <w:jc w:val="both"/>
      </w:pPr>
      <w:r w:rsidRPr="00E452F0">
        <w:t xml:space="preserve">Appendix 1 </w:t>
      </w:r>
      <w:r w:rsidRPr="00E452F0">
        <w:tab/>
        <w:t xml:space="preserve">Summary of </w:t>
      </w:r>
      <w:r w:rsidR="00B43878" w:rsidRPr="00E452F0">
        <w:t xml:space="preserve">General Fund </w:t>
      </w:r>
      <w:r w:rsidR="00673530" w:rsidRPr="00E452F0">
        <w:t>Budget by</w:t>
      </w:r>
      <w:r w:rsidRPr="00E452F0">
        <w:t xml:space="preserve"> Service 20</w:t>
      </w:r>
      <w:r w:rsidR="006B1BD8" w:rsidRPr="00E452F0">
        <w:t>2</w:t>
      </w:r>
      <w:r w:rsidR="00E452F0" w:rsidRPr="00E452F0">
        <w:t>5</w:t>
      </w:r>
      <w:r w:rsidRPr="00E452F0">
        <w:t>-</w:t>
      </w:r>
      <w:r w:rsidR="0084493A" w:rsidRPr="00E452F0">
        <w:t>2</w:t>
      </w:r>
      <w:r w:rsidR="00E452F0" w:rsidRPr="00E452F0">
        <w:t>6</w:t>
      </w:r>
      <w:r w:rsidRPr="00E452F0">
        <w:t xml:space="preserve"> to 20</w:t>
      </w:r>
      <w:r w:rsidR="002C2483" w:rsidRPr="00E452F0">
        <w:t>2</w:t>
      </w:r>
      <w:r w:rsidR="00E452F0" w:rsidRPr="00E452F0">
        <w:t>8</w:t>
      </w:r>
      <w:r w:rsidRPr="00E452F0">
        <w:t>-</w:t>
      </w:r>
      <w:r w:rsidR="005501CA" w:rsidRPr="00E452F0">
        <w:t>2</w:t>
      </w:r>
      <w:r w:rsidR="00E452F0" w:rsidRPr="00E452F0">
        <w:t>9</w:t>
      </w:r>
    </w:p>
    <w:p w14:paraId="62560316" w14:textId="04ED2550" w:rsidR="005C72B1" w:rsidRPr="00E452F0" w:rsidRDefault="005C72B1" w:rsidP="00942056">
      <w:pPr>
        <w:tabs>
          <w:tab w:val="left" w:pos="567"/>
        </w:tabs>
        <w:ind w:left="567" w:right="386" w:hanging="567"/>
        <w:jc w:val="both"/>
      </w:pPr>
      <w:r w:rsidRPr="00E452F0">
        <w:t xml:space="preserve">Appendix 2 </w:t>
      </w:r>
      <w:r w:rsidR="00B43878" w:rsidRPr="00E452F0">
        <w:tab/>
      </w:r>
      <w:r w:rsidRPr="00E452F0">
        <w:t>General Fund Revenue Budget by Service 20</w:t>
      </w:r>
      <w:r w:rsidR="006B1BD8" w:rsidRPr="00E452F0">
        <w:t>2</w:t>
      </w:r>
      <w:r w:rsidR="00E452F0" w:rsidRPr="00E452F0">
        <w:t>5</w:t>
      </w:r>
      <w:r w:rsidRPr="00E452F0">
        <w:t>-</w:t>
      </w:r>
      <w:r w:rsidR="0084493A" w:rsidRPr="00E452F0">
        <w:t>2</w:t>
      </w:r>
      <w:r w:rsidR="00E452F0" w:rsidRPr="00E452F0">
        <w:t>6</w:t>
      </w:r>
      <w:r w:rsidRPr="00E452F0">
        <w:t xml:space="preserve"> to 20</w:t>
      </w:r>
      <w:r w:rsidR="002C2483" w:rsidRPr="00E452F0">
        <w:t>2</w:t>
      </w:r>
      <w:r w:rsidR="00E452F0" w:rsidRPr="00E452F0">
        <w:t>8</w:t>
      </w:r>
      <w:r w:rsidRPr="00E452F0">
        <w:t>-</w:t>
      </w:r>
      <w:r w:rsidR="005501CA" w:rsidRPr="00E452F0">
        <w:t>2</w:t>
      </w:r>
      <w:r w:rsidR="00E452F0" w:rsidRPr="00E452F0">
        <w:t>9</w:t>
      </w:r>
    </w:p>
    <w:p w14:paraId="18C153D4" w14:textId="07AE29F5" w:rsidR="005C72B1" w:rsidRPr="00E452F0" w:rsidRDefault="005C72B1" w:rsidP="00942056">
      <w:pPr>
        <w:tabs>
          <w:tab w:val="left" w:pos="567"/>
        </w:tabs>
        <w:ind w:left="567" w:right="386" w:hanging="567"/>
        <w:jc w:val="both"/>
      </w:pPr>
      <w:r w:rsidRPr="00E452F0">
        <w:t xml:space="preserve">Appendix 3 </w:t>
      </w:r>
      <w:r w:rsidRPr="00E452F0">
        <w:tab/>
        <w:t xml:space="preserve">Detailed </w:t>
      </w:r>
      <w:r w:rsidR="00F918BD" w:rsidRPr="00E452F0">
        <w:t xml:space="preserve">General Fund </w:t>
      </w:r>
      <w:r w:rsidR="00673090" w:rsidRPr="00E452F0">
        <w:t xml:space="preserve">and HRA </w:t>
      </w:r>
      <w:r w:rsidRPr="00E452F0">
        <w:t>Service Budgets 20</w:t>
      </w:r>
      <w:r w:rsidR="006B1BD8" w:rsidRPr="00E452F0">
        <w:t>2</w:t>
      </w:r>
      <w:r w:rsidR="00E452F0" w:rsidRPr="00E452F0">
        <w:t>5</w:t>
      </w:r>
      <w:r w:rsidRPr="00E452F0">
        <w:t>-</w:t>
      </w:r>
      <w:r w:rsidR="0084493A" w:rsidRPr="00E452F0">
        <w:t>2</w:t>
      </w:r>
      <w:r w:rsidR="00E452F0" w:rsidRPr="00E452F0">
        <w:t>6</w:t>
      </w:r>
      <w:r w:rsidR="002C2483" w:rsidRPr="00E452F0">
        <w:t xml:space="preserve"> </w:t>
      </w:r>
      <w:r w:rsidRPr="00E452F0">
        <w:t>to 20</w:t>
      </w:r>
      <w:r w:rsidR="002C2483" w:rsidRPr="00E452F0">
        <w:t>2</w:t>
      </w:r>
      <w:r w:rsidR="00E452F0" w:rsidRPr="00E452F0">
        <w:t>8</w:t>
      </w:r>
      <w:r w:rsidRPr="00E452F0">
        <w:t>-</w:t>
      </w:r>
      <w:r w:rsidR="005501CA" w:rsidRPr="00E452F0">
        <w:t>2</w:t>
      </w:r>
      <w:r w:rsidR="00E452F0" w:rsidRPr="00E452F0">
        <w:t>9</w:t>
      </w:r>
    </w:p>
    <w:p w14:paraId="4BB9A556" w14:textId="5C5FFD0A" w:rsidR="00673530" w:rsidRPr="00E452F0" w:rsidRDefault="005C72B1" w:rsidP="00942056">
      <w:pPr>
        <w:tabs>
          <w:tab w:val="left" w:pos="567"/>
        </w:tabs>
        <w:ind w:left="567" w:right="386" w:hanging="567"/>
        <w:jc w:val="both"/>
      </w:pPr>
      <w:r w:rsidRPr="00E452F0">
        <w:t xml:space="preserve">Appendix </w:t>
      </w:r>
      <w:r w:rsidR="007E18CF" w:rsidRPr="00E452F0">
        <w:t>4</w:t>
      </w:r>
      <w:r w:rsidRPr="00E452F0">
        <w:t xml:space="preserve"> </w:t>
      </w:r>
      <w:r w:rsidRPr="00E452F0">
        <w:tab/>
        <w:t xml:space="preserve">Housing Revenue Account Budget </w:t>
      </w:r>
      <w:r w:rsidR="00673530" w:rsidRPr="00E452F0">
        <w:t>20</w:t>
      </w:r>
      <w:r w:rsidR="006B1BD8" w:rsidRPr="00E452F0">
        <w:t>2</w:t>
      </w:r>
      <w:r w:rsidR="00E452F0" w:rsidRPr="00E452F0">
        <w:t>5</w:t>
      </w:r>
      <w:r w:rsidR="00673530" w:rsidRPr="00E452F0">
        <w:t>-</w:t>
      </w:r>
      <w:r w:rsidR="0084493A" w:rsidRPr="00E452F0">
        <w:t>2</w:t>
      </w:r>
      <w:r w:rsidR="00E452F0" w:rsidRPr="00E452F0">
        <w:t>6</w:t>
      </w:r>
      <w:r w:rsidR="00673530" w:rsidRPr="00E452F0">
        <w:t xml:space="preserve"> to 20</w:t>
      </w:r>
      <w:r w:rsidR="002C2483" w:rsidRPr="00E452F0">
        <w:t>2</w:t>
      </w:r>
      <w:r w:rsidR="00E452F0" w:rsidRPr="00E452F0">
        <w:t>8</w:t>
      </w:r>
      <w:r w:rsidR="00673530" w:rsidRPr="00E452F0">
        <w:t>-</w:t>
      </w:r>
      <w:r w:rsidR="00F918BD" w:rsidRPr="00E452F0">
        <w:t>2</w:t>
      </w:r>
      <w:r w:rsidR="00E452F0" w:rsidRPr="00E452F0">
        <w:t>9</w:t>
      </w:r>
    </w:p>
    <w:p w14:paraId="2C08AC5C" w14:textId="77777777" w:rsidR="00865143" w:rsidRPr="00E452F0" w:rsidRDefault="00B43878" w:rsidP="00942056">
      <w:pPr>
        <w:tabs>
          <w:tab w:val="left" w:pos="567"/>
        </w:tabs>
        <w:ind w:left="567" w:right="386" w:hanging="567"/>
        <w:jc w:val="both"/>
      </w:pPr>
      <w:r w:rsidRPr="00E452F0">
        <w:t xml:space="preserve">Appendix </w:t>
      </w:r>
      <w:proofErr w:type="gramStart"/>
      <w:r w:rsidR="007E18CF" w:rsidRPr="00E452F0">
        <w:t>5</w:t>
      </w:r>
      <w:r w:rsidR="00865143" w:rsidRPr="00E452F0">
        <w:t xml:space="preserve">  </w:t>
      </w:r>
      <w:r w:rsidR="00F918BD" w:rsidRPr="00E452F0">
        <w:tab/>
      </w:r>
      <w:proofErr w:type="gramEnd"/>
      <w:r w:rsidR="0041253D" w:rsidRPr="00E452F0">
        <w:t>Council House Rents By Estate</w:t>
      </w:r>
      <w:r w:rsidR="00865143" w:rsidRPr="00E452F0">
        <w:t xml:space="preserve"> </w:t>
      </w:r>
    </w:p>
    <w:p w14:paraId="63C91046" w14:textId="4D17C21D" w:rsidR="005C72B1" w:rsidRPr="00E452F0" w:rsidRDefault="005C72B1" w:rsidP="00942056">
      <w:pPr>
        <w:tabs>
          <w:tab w:val="left" w:pos="567"/>
        </w:tabs>
        <w:ind w:left="567" w:right="386" w:hanging="567"/>
        <w:jc w:val="both"/>
      </w:pPr>
      <w:r w:rsidRPr="00E452F0">
        <w:t xml:space="preserve">Appendix </w:t>
      </w:r>
      <w:r w:rsidR="007E18CF" w:rsidRPr="00E452F0">
        <w:t>6</w:t>
      </w:r>
      <w:r w:rsidRPr="00E452F0">
        <w:t xml:space="preserve"> </w:t>
      </w:r>
      <w:r w:rsidRPr="00E452F0">
        <w:tab/>
      </w:r>
      <w:r w:rsidR="00F918BD" w:rsidRPr="00E452F0">
        <w:t xml:space="preserve">General Fund </w:t>
      </w:r>
      <w:r w:rsidR="00AE0441" w:rsidRPr="00E452F0">
        <w:t xml:space="preserve">and HRA </w:t>
      </w:r>
      <w:r w:rsidRPr="00E452F0">
        <w:t>Capital Programme 20</w:t>
      </w:r>
      <w:r w:rsidR="006B1BD8" w:rsidRPr="00E452F0">
        <w:t>2</w:t>
      </w:r>
      <w:r w:rsidR="00E452F0" w:rsidRPr="00E452F0">
        <w:t>5</w:t>
      </w:r>
      <w:r w:rsidRPr="00E452F0">
        <w:t>-</w:t>
      </w:r>
      <w:r w:rsidR="0084493A" w:rsidRPr="00E452F0">
        <w:t>2</w:t>
      </w:r>
      <w:r w:rsidR="00E452F0" w:rsidRPr="00E452F0">
        <w:t>6</w:t>
      </w:r>
      <w:r w:rsidRPr="00E452F0">
        <w:t xml:space="preserve"> to 20</w:t>
      </w:r>
      <w:r w:rsidR="002C2483" w:rsidRPr="00E452F0">
        <w:t>2</w:t>
      </w:r>
      <w:r w:rsidR="00E452F0" w:rsidRPr="00E452F0">
        <w:t>8</w:t>
      </w:r>
      <w:r w:rsidRPr="00E452F0">
        <w:t>-</w:t>
      </w:r>
      <w:r w:rsidR="00E452F0" w:rsidRPr="00E452F0">
        <w:t>29</w:t>
      </w:r>
    </w:p>
    <w:p w14:paraId="338238E1" w14:textId="77777777" w:rsidR="005C72B1" w:rsidRPr="00E452F0" w:rsidRDefault="005C72B1" w:rsidP="00942056">
      <w:pPr>
        <w:tabs>
          <w:tab w:val="left" w:pos="567"/>
        </w:tabs>
        <w:ind w:left="567" w:right="386" w:hanging="567"/>
        <w:jc w:val="both"/>
      </w:pPr>
      <w:r w:rsidRPr="00E452F0">
        <w:t xml:space="preserve">Appendix </w:t>
      </w:r>
      <w:r w:rsidR="0041253D" w:rsidRPr="00E452F0">
        <w:t>7</w:t>
      </w:r>
      <w:r w:rsidR="00AE0441" w:rsidRPr="00E452F0">
        <w:tab/>
      </w:r>
      <w:r w:rsidRPr="00E452F0">
        <w:t xml:space="preserve">Fees and charges </w:t>
      </w:r>
    </w:p>
    <w:p w14:paraId="25CCD559" w14:textId="77777777" w:rsidR="005C72B1" w:rsidRPr="00E452F0" w:rsidRDefault="005C72B1" w:rsidP="00942056">
      <w:pPr>
        <w:tabs>
          <w:tab w:val="left" w:pos="567"/>
        </w:tabs>
        <w:ind w:left="567" w:right="386" w:hanging="567"/>
        <w:jc w:val="both"/>
      </w:pPr>
      <w:r w:rsidRPr="00E452F0">
        <w:t xml:space="preserve">Appendix </w:t>
      </w:r>
      <w:r w:rsidR="0041253D" w:rsidRPr="00E452F0">
        <w:t>8</w:t>
      </w:r>
      <w:r w:rsidRPr="00E452F0">
        <w:tab/>
        <w:t>Risk Register</w:t>
      </w:r>
    </w:p>
    <w:p w14:paraId="3E21875B" w14:textId="77777777" w:rsidR="005C72B1" w:rsidRPr="00E452F0" w:rsidRDefault="005C72B1" w:rsidP="00942056">
      <w:pPr>
        <w:tabs>
          <w:tab w:val="left" w:pos="567"/>
        </w:tabs>
        <w:ind w:left="567" w:right="386" w:hanging="567"/>
        <w:jc w:val="both"/>
      </w:pPr>
      <w:r w:rsidRPr="00E452F0">
        <w:t xml:space="preserve">Appendix </w:t>
      </w:r>
      <w:r w:rsidR="0041253D" w:rsidRPr="00E452F0">
        <w:t>9</w:t>
      </w:r>
      <w:r w:rsidRPr="00E452F0">
        <w:t xml:space="preserve"> </w:t>
      </w:r>
      <w:r w:rsidR="00B43878" w:rsidRPr="00E452F0">
        <w:t xml:space="preserve"> </w:t>
      </w:r>
      <w:r w:rsidR="003F4A26" w:rsidRPr="00E452F0">
        <w:t xml:space="preserve"> </w:t>
      </w:r>
      <w:r w:rsidRPr="00E452F0">
        <w:t>Equalities Impact Assessment</w:t>
      </w:r>
    </w:p>
    <w:p w14:paraId="351C5F0E" w14:textId="0293B75B" w:rsidR="003562E8" w:rsidRPr="00C24D9D" w:rsidRDefault="003562E8" w:rsidP="00942056">
      <w:pPr>
        <w:tabs>
          <w:tab w:val="left" w:pos="567"/>
        </w:tabs>
        <w:ind w:left="567" w:right="386" w:hanging="567"/>
        <w:jc w:val="both"/>
      </w:pPr>
      <w:r w:rsidRPr="00E452F0">
        <w:t xml:space="preserve">Appendix 10 – </w:t>
      </w:r>
      <w:r w:rsidRPr="00C24D9D">
        <w:t xml:space="preserve">Properties purchased from </w:t>
      </w:r>
      <w:proofErr w:type="spellStart"/>
      <w:r w:rsidRPr="00C24D9D">
        <w:t>OXPlace</w:t>
      </w:r>
      <w:proofErr w:type="spellEnd"/>
      <w:r w:rsidRPr="00C24D9D">
        <w:t xml:space="preserve"> – EXEMPT FROM PUBLICATION</w:t>
      </w:r>
    </w:p>
    <w:p w14:paraId="2752879A" w14:textId="77777777" w:rsidR="00F4367A" w:rsidRPr="00C24D9D" w:rsidRDefault="00F4367A" w:rsidP="007C20F4">
      <w:pPr>
        <w:ind w:right="386" w:firstLine="540"/>
        <w:jc w:val="both"/>
        <w:rPr>
          <w:rFonts w:cs="Arial"/>
          <w:sz w:val="22"/>
          <w:szCs w:val="22"/>
        </w:rPr>
      </w:pPr>
    </w:p>
    <w:p w14:paraId="2428D4BF" w14:textId="77777777" w:rsidR="00713675" w:rsidRPr="00C24D9D" w:rsidRDefault="00713675" w:rsidP="00B3306E">
      <w:pPr>
        <w:ind w:right="386"/>
        <w:jc w:val="both"/>
        <w:rPr>
          <w:sz w:val="22"/>
          <w:szCs w:val="22"/>
        </w:rPr>
      </w:pPr>
    </w:p>
    <w:p w14:paraId="4D7666E6" w14:textId="77777777" w:rsidR="00AA26C9" w:rsidRPr="00C24D9D" w:rsidRDefault="00AA26C9" w:rsidP="00942056">
      <w:pPr>
        <w:ind w:right="386"/>
        <w:jc w:val="both"/>
        <w:rPr>
          <w:b/>
          <w:sz w:val="28"/>
          <w:szCs w:val="28"/>
        </w:rPr>
      </w:pPr>
      <w:r w:rsidRPr="00C24D9D">
        <w:rPr>
          <w:b/>
          <w:sz w:val="28"/>
          <w:szCs w:val="28"/>
        </w:rPr>
        <w:t xml:space="preserve">Comment from the Portfolio </w:t>
      </w:r>
      <w:proofErr w:type="gramStart"/>
      <w:r w:rsidRPr="00C24D9D">
        <w:rPr>
          <w:b/>
          <w:sz w:val="28"/>
          <w:szCs w:val="28"/>
        </w:rPr>
        <w:t>holder</w:t>
      </w:r>
      <w:proofErr w:type="gramEnd"/>
    </w:p>
    <w:p w14:paraId="1E3578D0" w14:textId="2E3D858D" w:rsidR="004A2528" w:rsidRPr="004A2528" w:rsidRDefault="004A2528" w:rsidP="004A2528">
      <w:pPr>
        <w:spacing w:before="100" w:beforeAutospacing="1" w:after="100" w:afterAutospacing="1"/>
        <w:rPr>
          <w:rFonts w:cs="Arial"/>
          <w:color w:val="000000"/>
          <w:lang w:eastAsia="en-GB"/>
        </w:rPr>
      </w:pPr>
      <w:r w:rsidRPr="00C24D9D">
        <w:rPr>
          <w:rFonts w:cs="Arial"/>
          <w:color w:val="000000"/>
          <w:lang w:eastAsia="en-GB"/>
        </w:rPr>
        <w:t>This budget is set in the context of an extremely</w:t>
      </w:r>
      <w:r w:rsidRPr="004A2528">
        <w:rPr>
          <w:rFonts w:cs="Arial"/>
          <w:color w:val="000000"/>
          <w:lang w:eastAsia="en-GB"/>
        </w:rPr>
        <w:t xml:space="preserve"> challenging fiscal situation nationally, which is also reflected in an exceptionally difficult time for local government. Nationally, the chancellor has noted that there was a “black hole” of £22 billion in the public finances left by the previous government and has had to raise taxes as a result. Locally, we have faced a toxic cocktail of financial issues in recent years including:</w:t>
      </w:r>
    </w:p>
    <w:p w14:paraId="04689430" w14:textId="77777777" w:rsidR="004A2528" w:rsidRPr="004A2528" w:rsidRDefault="004A2528" w:rsidP="004A2528">
      <w:pPr>
        <w:spacing w:before="100" w:beforeAutospacing="1" w:after="100" w:afterAutospacing="1"/>
        <w:rPr>
          <w:rFonts w:cs="Arial"/>
          <w:color w:val="000000"/>
          <w:lang w:eastAsia="en-GB"/>
        </w:rPr>
      </w:pPr>
      <w:r w:rsidRPr="004A2528">
        <w:rPr>
          <w:rFonts w:cs="Arial"/>
          <w:color w:val="000000"/>
          <w:lang w:eastAsia="en-GB"/>
        </w:rPr>
        <w:t xml:space="preserve">· An extended period of spiralling inflation, in part caused by poor policy choices made by the short-lived Truss government, and in part prompted by Russia’s full-scale invasion of Ukraine, affecting the costs of delivery of our capital programme, wages, fuel and utility </w:t>
      </w:r>
      <w:proofErr w:type="gramStart"/>
      <w:r w:rsidRPr="004A2528">
        <w:rPr>
          <w:rFonts w:cs="Arial"/>
          <w:color w:val="000000"/>
          <w:lang w:eastAsia="en-GB"/>
        </w:rPr>
        <w:t>costs;</w:t>
      </w:r>
      <w:proofErr w:type="gramEnd"/>
    </w:p>
    <w:p w14:paraId="3B09B9FF" w14:textId="77777777" w:rsidR="004A2528" w:rsidRPr="004A2528" w:rsidRDefault="004A2528" w:rsidP="004A2528">
      <w:pPr>
        <w:spacing w:before="100" w:beforeAutospacing="1" w:after="100" w:afterAutospacing="1"/>
        <w:rPr>
          <w:rFonts w:cs="Arial"/>
          <w:color w:val="000000"/>
          <w:lang w:eastAsia="en-GB"/>
        </w:rPr>
      </w:pPr>
      <w:r w:rsidRPr="004A2528">
        <w:rPr>
          <w:rFonts w:cs="Arial"/>
          <w:color w:val="000000"/>
          <w:lang w:eastAsia="en-GB"/>
        </w:rPr>
        <w:t xml:space="preserve">· Rising interest rates, affecting the cost of investing in our commercial and residential </w:t>
      </w:r>
      <w:proofErr w:type="gramStart"/>
      <w:r w:rsidRPr="004A2528">
        <w:rPr>
          <w:rFonts w:cs="Arial"/>
          <w:color w:val="000000"/>
          <w:lang w:eastAsia="en-GB"/>
        </w:rPr>
        <w:t>properties;</w:t>
      </w:r>
      <w:proofErr w:type="gramEnd"/>
    </w:p>
    <w:p w14:paraId="7F314D31" w14:textId="77777777" w:rsidR="004A2528" w:rsidRPr="004A2528" w:rsidRDefault="004A2528" w:rsidP="004A2528">
      <w:pPr>
        <w:spacing w:before="100" w:beforeAutospacing="1" w:after="100" w:afterAutospacing="1"/>
        <w:rPr>
          <w:rFonts w:cs="Arial"/>
          <w:color w:val="000000"/>
          <w:lang w:eastAsia="en-GB"/>
        </w:rPr>
      </w:pPr>
      <w:r w:rsidRPr="004A2528">
        <w:rPr>
          <w:rFonts w:cs="Arial"/>
          <w:color w:val="000000"/>
          <w:lang w:eastAsia="en-GB"/>
        </w:rPr>
        <w:t>· The legacy of the Covid pandemic, where central government promised to “do what it took” to support local government, but then manifestly failed and left us needing to allocate over £11 million to fill the gap.</w:t>
      </w:r>
    </w:p>
    <w:p w14:paraId="216B3DAC" w14:textId="77777777" w:rsidR="004A2528" w:rsidRPr="004A2528" w:rsidRDefault="004A2528" w:rsidP="004A2528">
      <w:pPr>
        <w:spacing w:before="100" w:beforeAutospacing="1" w:after="100" w:afterAutospacing="1"/>
        <w:rPr>
          <w:rFonts w:cs="Arial"/>
          <w:color w:val="000000"/>
          <w:lang w:eastAsia="en-GB"/>
        </w:rPr>
      </w:pPr>
      <w:r w:rsidRPr="004A2528">
        <w:rPr>
          <w:rFonts w:cs="Arial"/>
          <w:color w:val="000000"/>
          <w:lang w:eastAsia="en-GB"/>
        </w:rPr>
        <w:t>We are also acutely aware that these are not just issues affecting central and local government, but also ones which affect local people, who have experienced a drop in their living standards, rising fuel and fuel bills and higher accommodation costs. It was noteworthy, in our recent residents’ survey, that 59% of Oxford residents said they had been affected negatively by the economic climate, while 20% reported being unable to pay fuel and energy bills, 17% had struggled with rent or housing costs, and 12% had difficulties affording food. Oxford is a relatively affluent but starkly unequal city, and the current circumstances have made that worse.</w:t>
      </w:r>
    </w:p>
    <w:p w14:paraId="2A29C67A" w14:textId="77777777" w:rsidR="004A2528" w:rsidRPr="004A2528" w:rsidRDefault="004A2528" w:rsidP="004A2528">
      <w:pPr>
        <w:spacing w:before="100" w:beforeAutospacing="1" w:after="100" w:afterAutospacing="1"/>
        <w:rPr>
          <w:rFonts w:cs="Arial"/>
          <w:color w:val="000000"/>
          <w:lang w:eastAsia="en-GB"/>
        </w:rPr>
      </w:pPr>
      <w:r w:rsidRPr="004A2528">
        <w:rPr>
          <w:rFonts w:cs="Arial"/>
          <w:color w:val="000000"/>
          <w:lang w:eastAsia="en-GB"/>
        </w:rPr>
        <w:t xml:space="preserve">We are still assessing the impacts of the Chancellor’s October 2024 budget upon our finances. Some elements will be welcome, notably the extra support for local authorities faced by spiralling costs of homelessness, the delay to mooted changes to business </w:t>
      </w:r>
      <w:r w:rsidRPr="004A2528">
        <w:rPr>
          <w:rFonts w:cs="Arial"/>
          <w:color w:val="000000"/>
          <w:lang w:eastAsia="en-GB"/>
        </w:rPr>
        <w:lastRenderedPageBreak/>
        <w:t xml:space="preserve">rates, and the continuation of the Household Support Fund (although this is received by the County Council). We understand that additional Employers’ National Insurance costs will be borne centrally for the Council, but they will clearly affect our </w:t>
      </w:r>
      <w:proofErr w:type="gramStart"/>
      <w:r w:rsidRPr="004A2528">
        <w:rPr>
          <w:rFonts w:cs="Arial"/>
          <w:color w:val="000000"/>
          <w:lang w:eastAsia="en-GB"/>
        </w:rPr>
        <w:t>wholly-owned</w:t>
      </w:r>
      <w:proofErr w:type="gramEnd"/>
      <w:r w:rsidRPr="004A2528">
        <w:rPr>
          <w:rFonts w:cs="Arial"/>
          <w:color w:val="000000"/>
          <w:lang w:eastAsia="en-GB"/>
        </w:rPr>
        <w:t xml:space="preserve"> companies and our suppliers. We understand the huge pressures across the public sector, and witness the legacy of austerity on health services, the police, the justice </w:t>
      </w:r>
      <w:proofErr w:type="gramStart"/>
      <w:r w:rsidRPr="004A2528">
        <w:rPr>
          <w:rFonts w:cs="Arial"/>
          <w:color w:val="000000"/>
          <w:lang w:eastAsia="en-GB"/>
        </w:rPr>
        <w:t>system</w:t>
      </w:r>
      <w:proofErr w:type="gramEnd"/>
      <w:r w:rsidRPr="004A2528">
        <w:rPr>
          <w:rFonts w:cs="Arial"/>
          <w:color w:val="000000"/>
          <w:lang w:eastAsia="en-GB"/>
        </w:rPr>
        <w:t xml:space="preserve"> and schools across our city, but nonetheless we are concerned that there is simply insufficient funding being made available to support vital local services.</w:t>
      </w:r>
    </w:p>
    <w:p w14:paraId="1FB00BBE" w14:textId="77777777" w:rsidR="004A2528" w:rsidRPr="004A2528" w:rsidRDefault="004A2528" w:rsidP="004A2528">
      <w:pPr>
        <w:spacing w:before="100" w:beforeAutospacing="1" w:after="100" w:afterAutospacing="1"/>
        <w:rPr>
          <w:rFonts w:cs="Arial"/>
          <w:color w:val="000000"/>
          <w:lang w:eastAsia="en-GB"/>
        </w:rPr>
      </w:pPr>
      <w:r w:rsidRPr="004A2528">
        <w:rPr>
          <w:rFonts w:cs="Arial"/>
          <w:color w:val="000000"/>
          <w:lang w:eastAsia="en-GB"/>
        </w:rPr>
        <w:t xml:space="preserve">This budget sets out our local response to this context. We are having to provide an extra £1.846 million every year to fund temporary accommodation pressures., over and above our existing budget. This is exceptionally unfortunate for the City Council but of course also reflects the difficulty faced by households who </w:t>
      </w:r>
      <w:proofErr w:type="gramStart"/>
      <w:r w:rsidRPr="004A2528">
        <w:rPr>
          <w:rFonts w:cs="Arial"/>
          <w:color w:val="000000"/>
          <w:lang w:eastAsia="en-GB"/>
        </w:rPr>
        <w:t>have to</w:t>
      </w:r>
      <w:proofErr w:type="gramEnd"/>
      <w:r w:rsidRPr="004A2528">
        <w:rPr>
          <w:rFonts w:cs="Arial"/>
          <w:color w:val="000000"/>
          <w:lang w:eastAsia="en-GB"/>
        </w:rPr>
        <w:t xml:space="preserve"> leave their properties because they cannot afford their rent – a common form of homelessness. We look forward to new legislation preventing “no fault” evictions and that will be of benefit. In addition to funding necessary support for those made homeless, we are doing our best to address its causes. Substantial new council housing is proposed: funding is allocated for 1,049 dwellings to be purchased by the Council from </w:t>
      </w:r>
      <w:proofErr w:type="spellStart"/>
      <w:r w:rsidRPr="004A2528">
        <w:rPr>
          <w:rFonts w:cs="Arial"/>
          <w:color w:val="000000"/>
          <w:lang w:eastAsia="en-GB"/>
        </w:rPr>
        <w:t>OxPlace</w:t>
      </w:r>
      <w:proofErr w:type="spellEnd"/>
      <w:r w:rsidRPr="004A2528">
        <w:rPr>
          <w:rFonts w:cs="Arial"/>
          <w:color w:val="000000"/>
          <w:lang w:eastAsia="en-GB"/>
        </w:rPr>
        <w:t xml:space="preserve"> (our </w:t>
      </w:r>
      <w:proofErr w:type="gramStart"/>
      <w:r w:rsidRPr="004A2528">
        <w:rPr>
          <w:rFonts w:cs="Arial"/>
          <w:color w:val="000000"/>
          <w:lang w:eastAsia="en-GB"/>
        </w:rPr>
        <w:t>locally-owned</w:t>
      </w:r>
      <w:proofErr w:type="gramEnd"/>
      <w:r w:rsidRPr="004A2528">
        <w:rPr>
          <w:rFonts w:cs="Arial"/>
          <w:color w:val="000000"/>
          <w:lang w:eastAsia="en-GB"/>
        </w:rPr>
        <w:t xml:space="preserve"> housing company), of which 190 should have been completed by the time this budget commences.</w:t>
      </w:r>
    </w:p>
    <w:p w14:paraId="3FBF2E32" w14:textId="77777777" w:rsidR="004A2528" w:rsidRPr="004A2528" w:rsidRDefault="004A2528" w:rsidP="004A2528">
      <w:pPr>
        <w:spacing w:before="100" w:beforeAutospacing="1" w:after="100" w:afterAutospacing="1"/>
        <w:rPr>
          <w:rFonts w:cs="Arial"/>
          <w:color w:val="000000"/>
          <w:lang w:eastAsia="en-GB"/>
        </w:rPr>
      </w:pPr>
      <w:r w:rsidRPr="004A2528">
        <w:rPr>
          <w:rFonts w:cs="Arial"/>
          <w:color w:val="000000"/>
          <w:lang w:eastAsia="en-GB"/>
        </w:rPr>
        <w:t>The Housing Revenue Account is funded to build 227 new council homes directly, and acquire 115 more, and will take over 352 homes at Barton Park. Taken together, this represents a step change in the supply of council housing in Oxford. We will not neglect our current housing stock either: for example, funding of £22 million is included for energy efficiency works to Council properties in our five-year investment plan in our own stock.</w:t>
      </w:r>
    </w:p>
    <w:p w14:paraId="245C1A85" w14:textId="77777777" w:rsidR="004A2528" w:rsidRPr="004A2528" w:rsidRDefault="004A2528" w:rsidP="004A2528">
      <w:pPr>
        <w:spacing w:before="100" w:beforeAutospacing="1" w:after="100" w:afterAutospacing="1"/>
        <w:rPr>
          <w:rFonts w:cs="Arial"/>
          <w:color w:val="000000"/>
          <w:lang w:eastAsia="en-GB"/>
        </w:rPr>
      </w:pPr>
      <w:r w:rsidRPr="004A2528">
        <w:rPr>
          <w:rFonts w:cs="Arial"/>
          <w:color w:val="000000"/>
          <w:lang w:eastAsia="en-GB"/>
        </w:rPr>
        <w:t xml:space="preserve">Our residents’ survey has been an important source of insight into people’s concerns and aspirations for Oxford. It is pleasing that 54% of people are satisfied with council services (up from 52% last year). However, we want that figure to be higher. It was striking that 43% thought that Parks and Open Spaces are the most important thing making somewhere a good place to live; this budget includes funding for the new splash park in </w:t>
      </w:r>
      <w:proofErr w:type="spellStart"/>
      <w:r w:rsidRPr="004A2528">
        <w:rPr>
          <w:rFonts w:cs="Arial"/>
          <w:color w:val="000000"/>
          <w:lang w:eastAsia="en-GB"/>
        </w:rPr>
        <w:t>Hinksey</w:t>
      </w:r>
      <w:proofErr w:type="spellEnd"/>
      <w:r w:rsidRPr="004A2528">
        <w:rPr>
          <w:rFonts w:cs="Arial"/>
          <w:color w:val="000000"/>
          <w:lang w:eastAsia="en-GB"/>
        </w:rPr>
        <w:t>, increased grass-cutting and litter picking in parks, and a freeze on pitch-hire fees for football teams at youth and adult level. It was also noteworthy that while 54% of people were satisfied with the cleanliness of streets in the city centre, this dropped to 46% in residential streets, so we have increased funding in this area also.</w:t>
      </w:r>
    </w:p>
    <w:p w14:paraId="7C72186F" w14:textId="77777777" w:rsidR="004A2528" w:rsidRPr="004A2528" w:rsidRDefault="004A2528" w:rsidP="004A2528">
      <w:pPr>
        <w:spacing w:before="100" w:beforeAutospacing="1" w:after="100" w:afterAutospacing="1"/>
        <w:rPr>
          <w:rFonts w:cs="Arial"/>
          <w:color w:val="000000"/>
          <w:lang w:eastAsia="en-GB"/>
        </w:rPr>
      </w:pPr>
      <w:r w:rsidRPr="004A2528">
        <w:rPr>
          <w:rFonts w:cs="Arial"/>
          <w:color w:val="000000"/>
          <w:lang w:eastAsia="en-GB"/>
        </w:rPr>
        <w:t xml:space="preserve">Overall, there is a clear message that </w:t>
      </w:r>
      <w:proofErr w:type="gramStart"/>
      <w:r w:rsidRPr="004A2528">
        <w:rPr>
          <w:rFonts w:cs="Arial"/>
          <w:color w:val="000000"/>
          <w:lang w:eastAsia="en-GB"/>
        </w:rPr>
        <w:t>local residents</w:t>
      </w:r>
      <w:proofErr w:type="gramEnd"/>
      <w:r w:rsidRPr="004A2528">
        <w:rPr>
          <w:rFonts w:cs="Arial"/>
          <w:color w:val="000000"/>
          <w:lang w:eastAsia="en-GB"/>
        </w:rPr>
        <w:t xml:space="preserve"> want their local councils to get the basics right. We are responding positively to this, for example by proposing extra funding for verge cutting. We are conscious that the County Council’s decision drastically to reduce verge cutting has led to areas having a neglected feel, and our additional investment last year to counteract this proved insufficient. It is unwelcome that we </w:t>
      </w:r>
      <w:proofErr w:type="gramStart"/>
      <w:r w:rsidRPr="004A2528">
        <w:rPr>
          <w:rFonts w:cs="Arial"/>
          <w:color w:val="000000"/>
          <w:lang w:eastAsia="en-GB"/>
        </w:rPr>
        <w:t>have to</w:t>
      </w:r>
      <w:proofErr w:type="gramEnd"/>
      <w:r w:rsidRPr="004A2528">
        <w:rPr>
          <w:rFonts w:cs="Arial"/>
          <w:color w:val="000000"/>
          <w:lang w:eastAsia="en-GB"/>
        </w:rPr>
        <w:t xml:space="preserve"> pick up the pieces of County Council decisions but given the strength of feeling it is the right thing to do.</w:t>
      </w:r>
    </w:p>
    <w:p w14:paraId="40205C66" w14:textId="77777777" w:rsidR="004A2528" w:rsidRPr="004A2528" w:rsidRDefault="004A2528" w:rsidP="004A2528">
      <w:pPr>
        <w:spacing w:before="100" w:beforeAutospacing="1" w:after="100" w:afterAutospacing="1"/>
        <w:rPr>
          <w:rFonts w:cs="Arial"/>
          <w:color w:val="000000"/>
          <w:lang w:eastAsia="en-GB"/>
        </w:rPr>
      </w:pPr>
      <w:r w:rsidRPr="004A2528">
        <w:rPr>
          <w:rFonts w:cs="Arial"/>
          <w:color w:val="000000"/>
          <w:lang w:eastAsia="en-GB"/>
        </w:rPr>
        <w:t xml:space="preserve">There is strong support for community centres in our residents’ survey, with 44% agreeing they are important (as against just 9% disagreeing). Funding continues to be included for the new community centres in East Oxford and on Blackbird Leys. The centres will need to generate income from commercial bookings to cross-subsidise community activities, but this should generate more use of the centres </w:t>
      </w:r>
      <w:proofErr w:type="gramStart"/>
      <w:r w:rsidRPr="004A2528">
        <w:rPr>
          <w:rFonts w:cs="Arial"/>
          <w:color w:val="000000"/>
          <w:lang w:eastAsia="en-GB"/>
        </w:rPr>
        <w:t>overall, and</w:t>
      </w:r>
      <w:proofErr w:type="gramEnd"/>
      <w:r w:rsidRPr="004A2528">
        <w:rPr>
          <w:rFonts w:cs="Arial"/>
          <w:color w:val="000000"/>
          <w:lang w:eastAsia="en-GB"/>
        </w:rPr>
        <w:t xml:space="preserve"> be of benefit to local communities. We are making funds available for our leisure centre provider to undertake some remodelling of facilities to increase usage, </w:t>
      </w:r>
      <w:proofErr w:type="gramStart"/>
      <w:r w:rsidRPr="004A2528">
        <w:rPr>
          <w:rFonts w:cs="Arial"/>
          <w:color w:val="000000"/>
          <w:lang w:eastAsia="en-GB"/>
        </w:rPr>
        <w:t>and also</w:t>
      </w:r>
      <w:proofErr w:type="gramEnd"/>
      <w:r w:rsidRPr="004A2528">
        <w:rPr>
          <w:rFonts w:cs="Arial"/>
          <w:color w:val="000000"/>
          <w:lang w:eastAsia="en-GB"/>
        </w:rPr>
        <w:t xml:space="preserve"> </w:t>
      </w:r>
      <w:r w:rsidRPr="004A2528">
        <w:rPr>
          <w:rFonts w:cs="Arial"/>
          <w:color w:val="000000"/>
          <w:lang w:eastAsia="en-GB"/>
        </w:rPr>
        <w:lastRenderedPageBreak/>
        <w:t xml:space="preserve">employing a new surveyor to ensure facilities are properly maintained. We have allocated new funding in the Housing Revenue Account to support youth work, demonstrating our long-term commitment to our Youth Ambition service, which provides positive play and holiday activities for </w:t>
      </w:r>
      <w:proofErr w:type="gramStart"/>
      <w:r w:rsidRPr="004A2528">
        <w:rPr>
          <w:rFonts w:cs="Arial"/>
          <w:color w:val="000000"/>
          <w:lang w:eastAsia="en-GB"/>
        </w:rPr>
        <w:t>11 to 19 year olds</w:t>
      </w:r>
      <w:proofErr w:type="gramEnd"/>
      <w:r w:rsidRPr="004A2528">
        <w:rPr>
          <w:rFonts w:cs="Arial"/>
          <w:color w:val="000000"/>
          <w:lang w:eastAsia="en-GB"/>
        </w:rPr>
        <w:t xml:space="preserve"> throughout Oxford, and particularly in areas where other opportunities are most limited.</w:t>
      </w:r>
    </w:p>
    <w:p w14:paraId="34859B7C" w14:textId="77777777" w:rsidR="004A2528" w:rsidRPr="004A2528" w:rsidRDefault="004A2528" w:rsidP="004A2528">
      <w:pPr>
        <w:spacing w:before="100" w:beforeAutospacing="1" w:after="100" w:afterAutospacing="1"/>
        <w:rPr>
          <w:rFonts w:cs="Arial"/>
          <w:color w:val="000000"/>
          <w:lang w:eastAsia="en-GB"/>
        </w:rPr>
      </w:pPr>
      <w:r w:rsidRPr="004A2528">
        <w:rPr>
          <w:rFonts w:cs="Arial"/>
          <w:color w:val="000000"/>
          <w:lang w:eastAsia="en-GB"/>
        </w:rPr>
        <w:t xml:space="preserve">Our aim, as previously, is to safeguard frontline services, and we continue to draw upon the Oxford Model to do so, whereby we receive income from commercial property, regeneration projects and our </w:t>
      </w:r>
      <w:proofErr w:type="gramStart"/>
      <w:r w:rsidRPr="004A2528">
        <w:rPr>
          <w:rFonts w:cs="Arial"/>
          <w:color w:val="000000"/>
          <w:lang w:eastAsia="en-GB"/>
        </w:rPr>
        <w:t>wholly-owned</w:t>
      </w:r>
      <w:proofErr w:type="gramEnd"/>
      <w:r w:rsidRPr="004A2528">
        <w:rPr>
          <w:rFonts w:cs="Arial"/>
          <w:color w:val="000000"/>
          <w:lang w:eastAsia="en-GB"/>
        </w:rPr>
        <w:t xml:space="preserve"> companies. A careful analysis of commercial income means there is an additional £7.1 million income anticipated over the plan period (including from lease regearing and city centre regeneration), reducing the need for service reductions. We anticipate dividends of around £19 million from our two </w:t>
      </w:r>
      <w:proofErr w:type="gramStart"/>
      <w:r w:rsidRPr="004A2528">
        <w:rPr>
          <w:rFonts w:cs="Arial"/>
          <w:color w:val="000000"/>
          <w:lang w:eastAsia="en-GB"/>
        </w:rPr>
        <w:t>wholly-owned</w:t>
      </w:r>
      <w:proofErr w:type="gramEnd"/>
      <w:r w:rsidRPr="004A2528">
        <w:rPr>
          <w:rFonts w:cs="Arial"/>
          <w:color w:val="000000"/>
          <w:lang w:eastAsia="en-GB"/>
        </w:rPr>
        <w:t xml:space="preserve"> companies, Oxford Direct Services and </w:t>
      </w:r>
      <w:proofErr w:type="spellStart"/>
      <w:r w:rsidRPr="004A2528">
        <w:rPr>
          <w:rFonts w:cs="Arial"/>
          <w:color w:val="000000"/>
          <w:lang w:eastAsia="en-GB"/>
        </w:rPr>
        <w:t>OxPlace</w:t>
      </w:r>
      <w:proofErr w:type="spellEnd"/>
      <w:r w:rsidRPr="004A2528">
        <w:rPr>
          <w:rFonts w:cs="Arial"/>
          <w:color w:val="000000"/>
          <w:lang w:eastAsia="en-GB"/>
        </w:rPr>
        <w:t xml:space="preserve">, over the four-year plan period. Bluntly, this means that these are £19 million of service cuts which we no longer </w:t>
      </w:r>
      <w:proofErr w:type="gramStart"/>
      <w:r w:rsidRPr="004A2528">
        <w:rPr>
          <w:rFonts w:cs="Arial"/>
          <w:color w:val="000000"/>
          <w:lang w:eastAsia="en-GB"/>
        </w:rPr>
        <w:t>have to</w:t>
      </w:r>
      <w:proofErr w:type="gramEnd"/>
      <w:r w:rsidRPr="004A2528">
        <w:rPr>
          <w:rFonts w:cs="Arial"/>
          <w:color w:val="000000"/>
          <w:lang w:eastAsia="en-GB"/>
        </w:rPr>
        <w:t xml:space="preserve"> find.</w:t>
      </w:r>
    </w:p>
    <w:p w14:paraId="04AAA324" w14:textId="77777777" w:rsidR="004A2528" w:rsidRPr="004A2528" w:rsidRDefault="004A2528" w:rsidP="004A2528">
      <w:pPr>
        <w:spacing w:before="100" w:beforeAutospacing="1" w:after="100" w:afterAutospacing="1"/>
        <w:rPr>
          <w:rFonts w:cs="Arial"/>
          <w:color w:val="000000"/>
          <w:lang w:eastAsia="en-GB"/>
        </w:rPr>
      </w:pPr>
      <w:r w:rsidRPr="004A2528">
        <w:rPr>
          <w:rFonts w:cs="Arial"/>
          <w:color w:val="000000"/>
          <w:lang w:eastAsia="en-GB"/>
        </w:rPr>
        <w:t xml:space="preserve">This remains a difficult context in which to set a budget and clearly there are some proposals, such as not continuing with ward member grants, </w:t>
      </w:r>
      <w:proofErr w:type="gramStart"/>
      <w:r w:rsidRPr="004A2528">
        <w:rPr>
          <w:rFonts w:cs="Arial"/>
          <w:color w:val="000000"/>
          <w:lang w:eastAsia="en-GB"/>
        </w:rPr>
        <w:t>some</w:t>
      </w:r>
      <w:proofErr w:type="gramEnd"/>
    </w:p>
    <w:p w14:paraId="21414D4F" w14:textId="4420526E" w:rsidR="004A2528" w:rsidRPr="004A2528" w:rsidRDefault="004A2528" w:rsidP="004A2528">
      <w:pPr>
        <w:spacing w:before="100" w:beforeAutospacing="1" w:after="100" w:afterAutospacing="1"/>
        <w:rPr>
          <w:rFonts w:cs="Arial"/>
          <w:color w:val="000000"/>
          <w:lang w:eastAsia="en-GB"/>
        </w:rPr>
      </w:pPr>
      <w:r w:rsidRPr="004A2528">
        <w:rPr>
          <w:rFonts w:cs="Arial"/>
          <w:color w:val="000000"/>
          <w:lang w:eastAsia="en-GB"/>
        </w:rPr>
        <w:t>reductions in voluntary sector grants, and increasing garden waste fees, which we would rather have avoided. However, we believe our focus on getting the basics right as a council with improved litter collection and verge cutting, investing in our communities, and supporting our young people, is the right priority, as is continuing with the Oxford Model to reduce the need for cuts. We would welcome feedback as part of our budget consultation exercise on our proposal</w:t>
      </w:r>
      <w:r>
        <w:rPr>
          <w:rFonts w:cs="Arial"/>
          <w:color w:val="000000"/>
          <w:lang w:eastAsia="en-GB"/>
        </w:rPr>
        <w:t>s.</w:t>
      </w:r>
    </w:p>
    <w:p w14:paraId="63D944FD" w14:textId="77777777" w:rsidR="007C79C3" w:rsidRPr="00B96FC0" w:rsidRDefault="007C79C3" w:rsidP="00942056">
      <w:pPr>
        <w:ind w:right="386"/>
        <w:jc w:val="both"/>
        <w:rPr>
          <w:b/>
          <w:sz w:val="28"/>
          <w:szCs w:val="28"/>
          <w:highlight w:val="yellow"/>
        </w:rPr>
      </w:pPr>
    </w:p>
    <w:p w14:paraId="29B537A9" w14:textId="77777777" w:rsidR="00B3306E" w:rsidRPr="00E452F0" w:rsidRDefault="00B3306E" w:rsidP="00942056">
      <w:pPr>
        <w:ind w:right="386"/>
        <w:jc w:val="both"/>
        <w:rPr>
          <w:b/>
          <w:sz w:val="22"/>
          <w:szCs w:val="22"/>
        </w:rPr>
      </w:pPr>
      <w:r w:rsidRPr="00E452F0">
        <w:rPr>
          <w:b/>
          <w:sz w:val="22"/>
          <w:szCs w:val="22"/>
        </w:rPr>
        <w:t>INTRODUCTION</w:t>
      </w:r>
    </w:p>
    <w:p w14:paraId="28251DD2" w14:textId="77777777" w:rsidR="00B3306E" w:rsidRPr="00E452F0" w:rsidRDefault="00B3306E" w:rsidP="007C20F4">
      <w:pPr>
        <w:ind w:right="386" w:firstLine="540"/>
        <w:jc w:val="both"/>
        <w:rPr>
          <w:b/>
          <w:sz w:val="22"/>
          <w:szCs w:val="22"/>
        </w:rPr>
      </w:pPr>
    </w:p>
    <w:p w14:paraId="32F5C972" w14:textId="47627674" w:rsidR="007A7044" w:rsidRPr="00E452F0" w:rsidRDefault="00CC1EE8" w:rsidP="009046B9">
      <w:pPr>
        <w:pStyle w:val="ListParagraph"/>
        <w:numPr>
          <w:ilvl w:val="0"/>
          <w:numId w:val="10"/>
        </w:numPr>
        <w:ind w:right="386" w:hanging="720"/>
        <w:rPr>
          <w:rFonts w:cs="Arial"/>
        </w:rPr>
      </w:pPr>
      <w:r w:rsidRPr="00E452F0">
        <w:rPr>
          <w:rFonts w:cs="Arial"/>
        </w:rPr>
        <w:t>This report sets out the Council</w:t>
      </w:r>
      <w:r w:rsidR="00CD3973" w:rsidRPr="00E452F0">
        <w:rPr>
          <w:rFonts w:cs="Arial"/>
        </w:rPr>
        <w:t>’</w:t>
      </w:r>
      <w:r w:rsidRPr="00E452F0">
        <w:rPr>
          <w:rFonts w:cs="Arial"/>
        </w:rPr>
        <w:t xml:space="preserve">s </w:t>
      </w:r>
      <w:r w:rsidR="00507287" w:rsidRPr="00E452F0">
        <w:rPr>
          <w:rFonts w:cs="Arial"/>
        </w:rPr>
        <w:t>Medi</w:t>
      </w:r>
      <w:r w:rsidR="00603CCF" w:rsidRPr="00E452F0">
        <w:rPr>
          <w:rFonts w:cs="Arial"/>
        </w:rPr>
        <w:t>um Term Financial Strategy (MTFS</w:t>
      </w:r>
      <w:r w:rsidR="00507287" w:rsidRPr="00E452F0">
        <w:rPr>
          <w:rFonts w:cs="Arial"/>
        </w:rPr>
        <w:t xml:space="preserve">) </w:t>
      </w:r>
      <w:r w:rsidR="007A432D" w:rsidRPr="00E452F0">
        <w:rPr>
          <w:rFonts w:cs="Arial"/>
        </w:rPr>
        <w:t xml:space="preserve">and associated </w:t>
      </w:r>
      <w:r w:rsidRPr="00E452F0">
        <w:rPr>
          <w:rFonts w:cs="Arial"/>
        </w:rPr>
        <w:t xml:space="preserve">spending plans for the four years </w:t>
      </w:r>
      <w:r w:rsidR="00507287" w:rsidRPr="00E452F0">
        <w:rPr>
          <w:rFonts w:cs="Arial"/>
        </w:rPr>
        <w:t>20</w:t>
      </w:r>
      <w:r w:rsidR="006B1BD8" w:rsidRPr="00E452F0">
        <w:rPr>
          <w:rFonts w:cs="Arial"/>
        </w:rPr>
        <w:t>2</w:t>
      </w:r>
      <w:r w:rsidR="00E452F0" w:rsidRPr="00E452F0">
        <w:rPr>
          <w:rFonts w:cs="Arial"/>
        </w:rPr>
        <w:t>5</w:t>
      </w:r>
      <w:r w:rsidR="00507287" w:rsidRPr="00E452F0">
        <w:rPr>
          <w:rFonts w:cs="Arial"/>
        </w:rPr>
        <w:t>/</w:t>
      </w:r>
      <w:r w:rsidR="0084493A" w:rsidRPr="00E452F0">
        <w:rPr>
          <w:rFonts w:cs="Arial"/>
        </w:rPr>
        <w:t>2</w:t>
      </w:r>
      <w:r w:rsidR="00E452F0" w:rsidRPr="00E452F0">
        <w:rPr>
          <w:rFonts w:cs="Arial"/>
        </w:rPr>
        <w:t>6</w:t>
      </w:r>
      <w:r w:rsidR="00507287" w:rsidRPr="00E452F0">
        <w:rPr>
          <w:rFonts w:cs="Arial"/>
        </w:rPr>
        <w:t xml:space="preserve"> to 20</w:t>
      </w:r>
      <w:r w:rsidR="002C2483" w:rsidRPr="00E452F0">
        <w:rPr>
          <w:rFonts w:cs="Arial"/>
        </w:rPr>
        <w:t>2</w:t>
      </w:r>
      <w:r w:rsidR="00E452F0" w:rsidRPr="00E452F0">
        <w:rPr>
          <w:rFonts w:cs="Arial"/>
        </w:rPr>
        <w:t>8</w:t>
      </w:r>
      <w:r w:rsidR="00507287" w:rsidRPr="00E452F0">
        <w:rPr>
          <w:rFonts w:cs="Arial"/>
        </w:rPr>
        <w:t>/</w:t>
      </w:r>
      <w:r w:rsidR="005501CA" w:rsidRPr="00E452F0">
        <w:rPr>
          <w:rFonts w:cs="Arial"/>
        </w:rPr>
        <w:t>2</w:t>
      </w:r>
      <w:r w:rsidR="00E452F0" w:rsidRPr="00E452F0">
        <w:rPr>
          <w:rFonts w:cs="Arial"/>
        </w:rPr>
        <w:t>9</w:t>
      </w:r>
      <w:r w:rsidR="00507287" w:rsidRPr="00E452F0">
        <w:rPr>
          <w:rFonts w:cs="Arial"/>
        </w:rPr>
        <w:t xml:space="preserve"> </w:t>
      </w:r>
      <w:r w:rsidRPr="00E452F0">
        <w:rPr>
          <w:rFonts w:cs="Arial"/>
        </w:rPr>
        <w:t xml:space="preserve">and gives interested parties the opportunity to comment and be consulted </w:t>
      </w:r>
      <w:r w:rsidR="00CD3973" w:rsidRPr="00E452F0">
        <w:rPr>
          <w:rFonts w:cs="Arial"/>
        </w:rPr>
        <w:t>on</w:t>
      </w:r>
      <w:r w:rsidRPr="00E452F0">
        <w:rPr>
          <w:rFonts w:cs="Arial"/>
        </w:rPr>
        <w:t xml:space="preserve"> the Council</w:t>
      </w:r>
      <w:r w:rsidR="00CD3973" w:rsidRPr="00E452F0">
        <w:rPr>
          <w:rFonts w:cs="Arial"/>
        </w:rPr>
        <w:t>’</w:t>
      </w:r>
      <w:r w:rsidRPr="00E452F0">
        <w:rPr>
          <w:rFonts w:cs="Arial"/>
        </w:rPr>
        <w:t xml:space="preserve">s budget </w:t>
      </w:r>
      <w:r w:rsidR="00CD3973" w:rsidRPr="00E452F0">
        <w:rPr>
          <w:rFonts w:cs="Arial"/>
        </w:rPr>
        <w:t xml:space="preserve">proposals </w:t>
      </w:r>
      <w:r w:rsidRPr="00E452F0">
        <w:rPr>
          <w:rFonts w:cs="Arial"/>
        </w:rPr>
        <w:t xml:space="preserve">for the financial year </w:t>
      </w:r>
      <w:r w:rsidR="00CD3973" w:rsidRPr="00E452F0">
        <w:rPr>
          <w:rFonts w:cs="Arial"/>
        </w:rPr>
        <w:t>(</w:t>
      </w:r>
      <w:r w:rsidRPr="00E452F0">
        <w:rPr>
          <w:rFonts w:cs="Arial"/>
        </w:rPr>
        <w:t>20</w:t>
      </w:r>
      <w:r w:rsidR="006B1BD8" w:rsidRPr="00E452F0">
        <w:rPr>
          <w:rFonts w:cs="Arial"/>
        </w:rPr>
        <w:t>2</w:t>
      </w:r>
      <w:r w:rsidR="00E452F0" w:rsidRPr="00E452F0">
        <w:rPr>
          <w:rFonts w:cs="Arial"/>
        </w:rPr>
        <w:t>5</w:t>
      </w:r>
      <w:r w:rsidRPr="00E452F0">
        <w:rPr>
          <w:rFonts w:cs="Arial"/>
        </w:rPr>
        <w:t>/</w:t>
      </w:r>
      <w:r w:rsidR="0084493A" w:rsidRPr="00E452F0">
        <w:rPr>
          <w:rFonts w:cs="Arial"/>
        </w:rPr>
        <w:t>2</w:t>
      </w:r>
      <w:r w:rsidR="00E452F0" w:rsidRPr="00E452F0">
        <w:rPr>
          <w:rFonts w:cs="Arial"/>
        </w:rPr>
        <w:t>6</w:t>
      </w:r>
      <w:r w:rsidR="00CD3973" w:rsidRPr="00E452F0">
        <w:rPr>
          <w:rFonts w:cs="Arial"/>
        </w:rPr>
        <w:t>)</w:t>
      </w:r>
      <w:r w:rsidRPr="00E452F0">
        <w:rPr>
          <w:rFonts w:cs="Arial"/>
        </w:rPr>
        <w:t>. The report covers all aspects of the Council</w:t>
      </w:r>
      <w:r w:rsidR="00CD3973" w:rsidRPr="00E452F0">
        <w:rPr>
          <w:rFonts w:cs="Arial"/>
        </w:rPr>
        <w:t>’</w:t>
      </w:r>
      <w:r w:rsidRPr="00E452F0">
        <w:rPr>
          <w:rFonts w:cs="Arial"/>
        </w:rPr>
        <w:t>s spend</w:t>
      </w:r>
      <w:r w:rsidR="00CD3973" w:rsidRPr="00E452F0">
        <w:rPr>
          <w:rFonts w:cs="Arial"/>
        </w:rPr>
        <w:t>:</w:t>
      </w:r>
      <w:r w:rsidRPr="00E452F0">
        <w:rPr>
          <w:rFonts w:cs="Arial"/>
        </w:rPr>
        <w:t xml:space="preserve"> General Fund </w:t>
      </w:r>
      <w:r w:rsidR="005C72B1" w:rsidRPr="00E452F0">
        <w:rPr>
          <w:rFonts w:cs="Arial"/>
        </w:rPr>
        <w:t>r</w:t>
      </w:r>
      <w:r w:rsidRPr="00E452F0">
        <w:rPr>
          <w:rFonts w:cs="Arial"/>
        </w:rPr>
        <w:t xml:space="preserve">evenue expenditure funded by the council </w:t>
      </w:r>
      <w:r w:rsidR="2B757CE7" w:rsidRPr="00E452F0">
        <w:rPr>
          <w:rFonts w:cs="Arial"/>
        </w:rPr>
        <w:t>taxpayer</w:t>
      </w:r>
      <w:r w:rsidR="003F6421" w:rsidRPr="00E452F0">
        <w:rPr>
          <w:rFonts w:cs="Arial"/>
        </w:rPr>
        <w:t>, government grant and other sources of income</w:t>
      </w:r>
      <w:r w:rsidRPr="00E452F0">
        <w:rPr>
          <w:rFonts w:cs="Arial"/>
        </w:rPr>
        <w:t>, Housing Revenue Account</w:t>
      </w:r>
      <w:r w:rsidR="00CD3973" w:rsidRPr="00E452F0">
        <w:rPr>
          <w:rFonts w:cs="Arial"/>
        </w:rPr>
        <w:t xml:space="preserve"> </w:t>
      </w:r>
      <w:r w:rsidR="003F6421" w:rsidRPr="00E452F0">
        <w:rPr>
          <w:rFonts w:cs="Arial"/>
        </w:rPr>
        <w:t xml:space="preserve">(HRA) </w:t>
      </w:r>
      <w:r w:rsidR="00AA73D4" w:rsidRPr="00E452F0">
        <w:rPr>
          <w:rFonts w:cs="Arial"/>
        </w:rPr>
        <w:t>expenditure</w:t>
      </w:r>
      <w:r w:rsidRPr="00E452F0">
        <w:rPr>
          <w:rFonts w:cs="Arial"/>
        </w:rPr>
        <w:t>, funded by council tenants</w:t>
      </w:r>
      <w:r w:rsidR="003F6421" w:rsidRPr="00E452F0">
        <w:rPr>
          <w:rFonts w:cs="Arial"/>
        </w:rPr>
        <w:t>’ rents,</w:t>
      </w:r>
      <w:r w:rsidRPr="00E452F0">
        <w:rPr>
          <w:rFonts w:cs="Arial"/>
        </w:rPr>
        <w:t xml:space="preserve"> and the Council</w:t>
      </w:r>
      <w:r w:rsidR="00CD3973" w:rsidRPr="00E452F0">
        <w:rPr>
          <w:rFonts w:cs="Arial"/>
        </w:rPr>
        <w:t>’</w:t>
      </w:r>
      <w:r w:rsidRPr="00E452F0">
        <w:rPr>
          <w:rFonts w:cs="Arial"/>
        </w:rPr>
        <w:t>s Capital Programme</w:t>
      </w:r>
      <w:r w:rsidR="003F6421" w:rsidRPr="00E452F0">
        <w:rPr>
          <w:rFonts w:cs="Arial"/>
        </w:rPr>
        <w:t>s (General Fund and HRA)</w:t>
      </w:r>
      <w:r w:rsidR="00C52DEE" w:rsidRPr="00E452F0">
        <w:rPr>
          <w:rFonts w:cs="Arial"/>
        </w:rPr>
        <w:t xml:space="preserve"> funded by capital r</w:t>
      </w:r>
      <w:r w:rsidRPr="00E452F0">
        <w:rPr>
          <w:rFonts w:cs="Arial"/>
        </w:rPr>
        <w:t>eceipts, revenue and borrowing.</w:t>
      </w:r>
    </w:p>
    <w:p w14:paraId="1A3DF12F" w14:textId="77777777" w:rsidR="00367883" w:rsidRPr="00B96FC0" w:rsidRDefault="00367883" w:rsidP="00B80EBF">
      <w:pPr>
        <w:tabs>
          <w:tab w:val="num" w:pos="567"/>
        </w:tabs>
        <w:ind w:left="567" w:right="386" w:hanging="567"/>
        <w:rPr>
          <w:rFonts w:cs="Arial"/>
          <w:highlight w:val="yellow"/>
        </w:rPr>
      </w:pPr>
    </w:p>
    <w:p w14:paraId="555A5896" w14:textId="77777777" w:rsidR="00367883" w:rsidRPr="00B96FC0" w:rsidRDefault="00367883" w:rsidP="009046B9">
      <w:pPr>
        <w:pStyle w:val="ListParagraph"/>
        <w:numPr>
          <w:ilvl w:val="0"/>
          <w:numId w:val="10"/>
        </w:numPr>
        <w:ind w:right="386" w:hanging="720"/>
        <w:rPr>
          <w:rFonts w:cs="Arial"/>
        </w:rPr>
      </w:pPr>
      <w:r w:rsidRPr="1EDB5DC6">
        <w:rPr>
          <w:rFonts w:cs="Arial"/>
        </w:rPr>
        <w:t>The propos</w:t>
      </w:r>
      <w:r w:rsidR="00017EC1" w:rsidRPr="1EDB5DC6">
        <w:rPr>
          <w:rFonts w:cs="Arial"/>
        </w:rPr>
        <w:t>ed</w:t>
      </w:r>
      <w:r w:rsidRPr="1EDB5DC6">
        <w:rPr>
          <w:rFonts w:cs="Arial"/>
        </w:rPr>
        <w:t xml:space="preserve"> M</w:t>
      </w:r>
      <w:r w:rsidR="000D4044" w:rsidRPr="1EDB5DC6">
        <w:rPr>
          <w:rFonts w:cs="Arial"/>
        </w:rPr>
        <w:t xml:space="preserve">edium </w:t>
      </w:r>
      <w:r w:rsidRPr="1EDB5DC6">
        <w:rPr>
          <w:rFonts w:cs="Arial"/>
        </w:rPr>
        <w:t>T</w:t>
      </w:r>
      <w:r w:rsidR="000D4044" w:rsidRPr="1EDB5DC6">
        <w:rPr>
          <w:rFonts w:cs="Arial"/>
        </w:rPr>
        <w:t xml:space="preserve">erm </w:t>
      </w:r>
      <w:r w:rsidRPr="1EDB5DC6">
        <w:rPr>
          <w:rFonts w:cs="Arial"/>
        </w:rPr>
        <w:t>F</w:t>
      </w:r>
      <w:r w:rsidR="000D4044" w:rsidRPr="1EDB5DC6">
        <w:rPr>
          <w:rFonts w:cs="Arial"/>
        </w:rPr>
        <w:t xml:space="preserve">inancial </w:t>
      </w:r>
      <w:r w:rsidRPr="1EDB5DC6">
        <w:rPr>
          <w:rFonts w:cs="Arial"/>
        </w:rPr>
        <w:t>S</w:t>
      </w:r>
      <w:r w:rsidR="000D4044" w:rsidRPr="1EDB5DC6">
        <w:rPr>
          <w:rFonts w:cs="Arial"/>
        </w:rPr>
        <w:t>trategy</w:t>
      </w:r>
      <w:r w:rsidRPr="1EDB5DC6">
        <w:rPr>
          <w:rFonts w:cs="Arial"/>
        </w:rPr>
        <w:t>:</w:t>
      </w:r>
    </w:p>
    <w:p w14:paraId="06055B65" w14:textId="77777777" w:rsidR="00367883" w:rsidRPr="00B96FC0" w:rsidRDefault="00367883" w:rsidP="00416EFF">
      <w:pPr>
        <w:pStyle w:val="ListParagraph"/>
        <w:tabs>
          <w:tab w:val="num" w:pos="567"/>
        </w:tabs>
        <w:ind w:left="567" w:firstLine="142"/>
        <w:rPr>
          <w:rFonts w:cs="Arial"/>
        </w:rPr>
      </w:pPr>
    </w:p>
    <w:p w14:paraId="168FF08F" w14:textId="67BA376A" w:rsidR="00367883" w:rsidRPr="00B96FC0" w:rsidRDefault="00367883" w:rsidP="009046B9">
      <w:pPr>
        <w:pStyle w:val="ListParagraph"/>
        <w:numPr>
          <w:ilvl w:val="0"/>
          <w:numId w:val="4"/>
        </w:numPr>
        <w:ind w:left="1134" w:hanging="425"/>
        <w:rPr>
          <w:rFonts w:cs="Arial"/>
        </w:rPr>
      </w:pPr>
      <w:r w:rsidRPr="1EDB5DC6">
        <w:rPr>
          <w:rFonts w:cs="Arial"/>
        </w:rPr>
        <w:t xml:space="preserve">Is financially </w:t>
      </w:r>
      <w:r w:rsidR="00770AB9" w:rsidRPr="1EDB5DC6">
        <w:rPr>
          <w:rFonts w:cs="Arial"/>
        </w:rPr>
        <w:t xml:space="preserve">balanced over the </w:t>
      </w:r>
      <w:r w:rsidR="00344269" w:rsidRPr="1EDB5DC6">
        <w:rPr>
          <w:rFonts w:cs="Arial"/>
        </w:rPr>
        <w:t>four-year</w:t>
      </w:r>
      <w:r w:rsidR="00770AB9" w:rsidRPr="1EDB5DC6">
        <w:rPr>
          <w:rFonts w:cs="Arial"/>
        </w:rPr>
        <w:t xml:space="preserve"> period with the use of </w:t>
      </w:r>
      <w:r w:rsidR="00B813AA" w:rsidRPr="1EDB5DC6">
        <w:rPr>
          <w:rFonts w:cs="Arial"/>
        </w:rPr>
        <w:t xml:space="preserve">a net </w:t>
      </w:r>
      <w:r w:rsidR="00770AB9" w:rsidRPr="1EDB5DC6">
        <w:rPr>
          <w:rFonts w:cs="Arial"/>
        </w:rPr>
        <w:t>£</w:t>
      </w:r>
      <w:r w:rsidR="6310150A" w:rsidRPr="1EDB5DC6">
        <w:rPr>
          <w:rFonts w:cs="Arial"/>
        </w:rPr>
        <w:t>6</w:t>
      </w:r>
      <w:r w:rsidR="50674501" w:rsidRPr="1EDB5DC6">
        <w:rPr>
          <w:rFonts w:cs="Arial"/>
        </w:rPr>
        <w:t>.</w:t>
      </w:r>
      <w:r w:rsidR="50CDBDE5" w:rsidRPr="1EDB5DC6">
        <w:rPr>
          <w:rFonts w:cs="Arial"/>
        </w:rPr>
        <w:t>4</w:t>
      </w:r>
      <w:r w:rsidR="000416F1" w:rsidRPr="1EDB5DC6">
        <w:rPr>
          <w:rFonts w:cs="Arial"/>
        </w:rPr>
        <w:t xml:space="preserve"> </w:t>
      </w:r>
      <w:r w:rsidR="00770AB9" w:rsidRPr="1EDB5DC6">
        <w:rPr>
          <w:rFonts w:cs="Arial"/>
        </w:rPr>
        <w:t xml:space="preserve">million of earmarked reserves. </w:t>
      </w:r>
    </w:p>
    <w:p w14:paraId="52227C4C" w14:textId="0467A204" w:rsidR="000416F1" w:rsidRPr="00B96FC0" w:rsidRDefault="00B813AA" w:rsidP="009046B9">
      <w:pPr>
        <w:pStyle w:val="ListParagraph"/>
        <w:numPr>
          <w:ilvl w:val="0"/>
          <w:numId w:val="4"/>
        </w:numPr>
        <w:ind w:left="1134" w:hanging="425"/>
        <w:rPr>
          <w:rFonts w:cs="Arial"/>
        </w:rPr>
      </w:pPr>
      <w:r w:rsidRPr="1EDB5DC6">
        <w:rPr>
          <w:rFonts w:cs="Arial"/>
        </w:rPr>
        <w:t xml:space="preserve">Assumes Fairer Funding </w:t>
      </w:r>
      <w:r w:rsidR="008841D4" w:rsidRPr="1EDB5DC6">
        <w:rPr>
          <w:rFonts w:cs="Arial"/>
        </w:rPr>
        <w:t>reforms to business rates, which are likely to disadvantage Oxford City Council</w:t>
      </w:r>
      <w:r w:rsidR="7C233654" w:rsidRPr="1EDB5DC6">
        <w:rPr>
          <w:rFonts w:cs="Arial"/>
        </w:rPr>
        <w:t>,</w:t>
      </w:r>
      <w:r w:rsidR="008841D4" w:rsidRPr="1EDB5DC6">
        <w:rPr>
          <w:rFonts w:cs="Arial"/>
        </w:rPr>
        <w:t xml:space="preserve"> are</w:t>
      </w:r>
      <w:r w:rsidRPr="1EDB5DC6">
        <w:rPr>
          <w:rFonts w:cs="Arial"/>
        </w:rPr>
        <w:t xml:space="preserve"> delayed by the Government </w:t>
      </w:r>
      <w:r w:rsidR="00344269">
        <w:rPr>
          <w:rFonts w:cs="Arial"/>
        </w:rPr>
        <w:t xml:space="preserve">but </w:t>
      </w:r>
      <w:r w:rsidR="00344269" w:rsidRPr="1EDB5DC6">
        <w:rPr>
          <w:rFonts w:cs="Arial"/>
        </w:rPr>
        <w:t>introduced</w:t>
      </w:r>
      <w:r w:rsidR="000416F1" w:rsidRPr="1EDB5DC6">
        <w:rPr>
          <w:rFonts w:cs="Arial"/>
        </w:rPr>
        <w:t xml:space="preserve"> in </w:t>
      </w:r>
      <w:r w:rsidR="50674501" w:rsidRPr="1EDB5DC6">
        <w:rPr>
          <w:rFonts w:cs="Arial"/>
        </w:rPr>
        <w:t>202</w:t>
      </w:r>
      <w:r w:rsidR="28198327" w:rsidRPr="1EDB5DC6">
        <w:rPr>
          <w:rFonts w:cs="Arial"/>
        </w:rPr>
        <w:t>6</w:t>
      </w:r>
      <w:r w:rsidR="50674501" w:rsidRPr="1EDB5DC6">
        <w:rPr>
          <w:rFonts w:cs="Arial"/>
        </w:rPr>
        <w:t>-2</w:t>
      </w:r>
      <w:r w:rsidR="0F9D14ED" w:rsidRPr="1EDB5DC6">
        <w:rPr>
          <w:rFonts w:cs="Arial"/>
        </w:rPr>
        <w:t>7</w:t>
      </w:r>
      <w:r w:rsidR="2A5E6F04" w:rsidRPr="1EDB5DC6">
        <w:rPr>
          <w:rFonts w:cs="Arial"/>
        </w:rPr>
        <w:t>.</w:t>
      </w:r>
    </w:p>
    <w:p w14:paraId="0DC6EC44" w14:textId="7C356673" w:rsidR="00367883" w:rsidRPr="00B96FC0" w:rsidRDefault="000D4044" w:rsidP="009046B9">
      <w:pPr>
        <w:pStyle w:val="ListParagraph"/>
        <w:numPr>
          <w:ilvl w:val="0"/>
          <w:numId w:val="4"/>
        </w:numPr>
        <w:tabs>
          <w:tab w:val="num" w:pos="1134"/>
        </w:tabs>
        <w:ind w:left="1134" w:hanging="425"/>
        <w:rPr>
          <w:rFonts w:cs="Arial"/>
        </w:rPr>
      </w:pPr>
      <w:r w:rsidRPr="6F9FB908">
        <w:rPr>
          <w:rFonts w:cs="Arial"/>
        </w:rPr>
        <w:t>A</w:t>
      </w:r>
      <w:r w:rsidR="006D3F6B" w:rsidRPr="6F9FB908">
        <w:rPr>
          <w:rFonts w:cs="Arial"/>
        </w:rPr>
        <w:t>ssumes</w:t>
      </w:r>
      <w:r w:rsidRPr="6F9FB908">
        <w:rPr>
          <w:rFonts w:cs="Arial"/>
        </w:rPr>
        <w:t xml:space="preserve"> </w:t>
      </w:r>
      <w:r w:rsidR="003E3387" w:rsidRPr="6F9FB908">
        <w:rPr>
          <w:rFonts w:cs="Arial"/>
        </w:rPr>
        <w:t xml:space="preserve">a council tax increase of </w:t>
      </w:r>
      <w:r w:rsidR="004D7F12">
        <w:rPr>
          <w:rFonts w:cs="Arial"/>
        </w:rPr>
        <w:t>2</w:t>
      </w:r>
      <w:r w:rsidR="164CEAA6" w:rsidRPr="6F9FB908">
        <w:rPr>
          <w:rFonts w:cs="Arial"/>
        </w:rPr>
        <w:t>.99% for 2</w:t>
      </w:r>
      <w:r w:rsidR="0B3C450B" w:rsidRPr="6F9FB908">
        <w:rPr>
          <w:rFonts w:cs="Arial"/>
        </w:rPr>
        <w:t>02</w:t>
      </w:r>
      <w:r w:rsidR="1D08914F" w:rsidRPr="6F9FB908">
        <w:rPr>
          <w:rFonts w:cs="Arial"/>
        </w:rPr>
        <w:t>5</w:t>
      </w:r>
      <w:r w:rsidR="164CEAA6" w:rsidRPr="6F9FB908">
        <w:rPr>
          <w:rFonts w:cs="Arial"/>
        </w:rPr>
        <w:t>-</w:t>
      </w:r>
      <w:r w:rsidR="0E6FC893" w:rsidRPr="6F9FB908">
        <w:rPr>
          <w:rFonts w:cs="Arial"/>
        </w:rPr>
        <w:t>2</w:t>
      </w:r>
      <w:r w:rsidR="3EDC0876" w:rsidRPr="6F9FB908">
        <w:rPr>
          <w:rFonts w:cs="Arial"/>
        </w:rPr>
        <w:t>6</w:t>
      </w:r>
      <w:r w:rsidR="000416F1" w:rsidRPr="6F9FB908">
        <w:rPr>
          <w:rFonts w:cs="Arial"/>
        </w:rPr>
        <w:t xml:space="preserve"> </w:t>
      </w:r>
      <w:r w:rsidR="00274328" w:rsidRPr="6F9FB908">
        <w:rPr>
          <w:rFonts w:cs="Arial"/>
        </w:rPr>
        <w:t xml:space="preserve">and </w:t>
      </w:r>
      <w:r w:rsidR="00ED6871" w:rsidRPr="6F9FB908">
        <w:rPr>
          <w:rFonts w:cs="Arial"/>
        </w:rPr>
        <w:t xml:space="preserve">annual </w:t>
      </w:r>
      <w:r w:rsidR="00367883" w:rsidRPr="6F9FB908">
        <w:rPr>
          <w:rFonts w:cs="Arial"/>
        </w:rPr>
        <w:t xml:space="preserve">Council Tax </w:t>
      </w:r>
      <w:r w:rsidR="00ED6871" w:rsidRPr="6F9FB908">
        <w:rPr>
          <w:rFonts w:cs="Arial"/>
        </w:rPr>
        <w:t xml:space="preserve">increases </w:t>
      </w:r>
      <w:r w:rsidR="00C149B2" w:rsidRPr="6F9FB908">
        <w:rPr>
          <w:rFonts w:cs="Arial"/>
        </w:rPr>
        <w:t xml:space="preserve">of </w:t>
      </w:r>
      <w:r w:rsidR="003F6421" w:rsidRPr="6F9FB908">
        <w:rPr>
          <w:rFonts w:cs="Arial"/>
        </w:rPr>
        <w:t>1.99</w:t>
      </w:r>
      <w:r w:rsidR="00367883" w:rsidRPr="6F9FB908">
        <w:rPr>
          <w:rFonts w:cs="Arial"/>
        </w:rPr>
        <w:t xml:space="preserve">% </w:t>
      </w:r>
      <w:r w:rsidR="003E3387" w:rsidRPr="6F9FB908">
        <w:rPr>
          <w:rFonts w:cs="Arial"/>
        </w:rPr>
        <w:t>thereafter</w:t>
      </w:r>
      <w:r w:rsidR="00274328" w:rsidRPr="6F9FB908">
        <w:rPr>
          <w:rFonts w:cs="Arial"/>
        </w:rPr>
        <w:t xml:space="preserve">. </w:t>
      </w:r>
    </w:p>
    <w:p w14:paraId="2D1538A1" w14:textId="14C95B9E" w:rsidR="65FE2624" w:rsidRPr="00B96FC0" w:rsidRDefault="65FE2624" w:rsidP="009046B9">
      <w:pPr>
        <w:pStyle w:val="ListParagraph"/>
        <w:numPr>
          <w:ilvl w:val="0"/>
          <w:numId w:val="4"/>
        </w:numPr>
        <w:tabs>
          <w:tab w:val="num" w:pos="1134"/>
        </w:tabs>
        <w:ind w:left="1134" w:hanging="425"/>
        <w:rPr>
          <w:rFonts w:cs="Arial"/>
        </w:rPr>
      </w:pPr>
      <w:r w:rsidRPr="1EDB5DC6">
        <w:rPr>
          <w:rFonts w:cs="Arial"/>
        </w:rPr>
        <w:t>Assumes dividends from our wholly owned companies over the</w:t>
      </w:r>
      <w:r w:rsidR="006C2443">
        <w:rPr>
          <w:rFonts w:cs="Arial"/>
        </w:rPr>
        <w:t xml:space="preserve"> four-year</w:t>
      </w:r>
      <w:r w:rsidRPr="1EDB5DC6">
        <w:rPr>
          <w:rFonts w:cs="Arial"/>
        </w:rPr>
        <w:t xml:space="preserve"> period of around </w:t>
      </w:r>
      <w:r w:rsidR="054EA4B0" w:rsidRPr="1EDB5DC6">
        <w:rPr>
          <w:rFonts w:cs="Arial"/>
        </w:rPr>
        <w:t>£</w:t>
      </w:r>
      <w:r w:rsidR="03D57E85" w:rsidRPr="1EDB5DC6">
        <w:rPr>
          <w:rFonts w:cs="Arial"/>
        </w:rPr>
        <w:t>19</w:t>
      </w:r>
      <w:r w:rsidR="054EA4B0" w:rsidRPr="1EDB5DC6">
        <w:rPr>
          <w:rFonts w:cs="Arial"/>
        </w:rPr>
        <w:t xml:space="preserve"> </w:t>
      </w:r>
      <w:r w:rsidR="00344269" w:rsidRPr="1EDB5DC6">
        <w:rPr>
          <w:rFonts w:cs="Arial"/>
        </w:rPr>
        <w:t>million.</w:t>
      </w:r>
    </w:p>
    <w:p w14:paraId="236293E5" w14:textId="2D5A806A" w:rsidR="00A041EC" w:rsidRPr="00A70FBB" w:rsidRDefault="00A041EC" w:rsidP="009046B9">
      <w:pPr>
        <w:pStyle w:val="ListParagraph"/>
        <w:numPr>
          <w:ilvl w:val="0"/>
          <w:numId w:val="4"/>
        </w:numPr>
        <w:tabs>
          <w:tab w:val="num" w:pos="1134"/>
        </w:tabs>
        <w:ind w:left="1134" w:hanging="567"/>
        <w:rPr>
          <w:rFonts w:cs="Arial"/>
        </w:rPr>
      </w:pPr>
      <w:r w:rsidRPr="00A70FBB">
        <w:rPr>
          <w:rFonts w:cs="Arial"/>
        </w:rPr>
        <w:t xml:space="preserve">Assumes an increase in council house rents of </w:t>
      </w:r>
      <w:r w:rsidR="00C0329E" w:rsidRPr="00A70FBB">
        <w:rPr>
          <w:rFonts w:cs="Arial"/>
        </w:rPr>
        <w:t>2</w:t>
      </w:r>
      <w:r w:rsidR="000416F1" w:rsidRPr="00A70FBB">
        <w:rPr>
          <w:rFonts w:cs="Arial"/>
        </w:rPr>
        <w:t>.7</w:t>
      </w:r>
      <w:r w:rsidR="00B5133C" w:rsidRPr="00A70FBB">
        <w:rPr>
          <w:rFonts w:cs="Arial"/>
        </w:rPr>
        <w:t>%</w:t>
      </w:r>
      <w:r w:rsidRPr="00A70FBB">
        <w:rPr>
          <w:rFonts w:cs="Arial"/>
        </w:rPr>
        <w:t xml:space="preserve"> in 202</w:t>
      </w:r>
      <w:r w:rsidR="00C0329E" w:rsidRPr="00A70FBB">
        <w:rPr>
          <w:rFonts w:cs="Arial"/>
        </w:rPr>
        <w:t>5</w:t>
      </w:r>
      <w:r w:rsidRPr="00A70FBB">
        <w:rPr>
          <w:rFonts w:cs="Arial"/>
        </w:rPr>
        <w:t>-2</w:t>
      </w:r>
      <w:r w:rsidR="00C0329E" w:rsidRPr="00A70FBB">
        <w:rPr>
          <w:rFonts w:cs="Arial"/>
        </w:rPr>
        <w:t>6</w:t>
      </w:r>
      <w:r w:rsidR="000416F1" w:rsidRPr="00A70FBB">
        <w:rPr>
          <w:rFonts w:cs="Arial"/>
        </w:rPr>
        <w:t xml:space="preserve"> </w:t>
      </w:r>
      <w:r w:rsidR="004434F4" w:rsidRPr="00A70FBB">
        <w:rPr>
          <w:rFonts w:cs="Arial"/>
        </w:rPr>
        <w:t>to an average of £1</w:t>
      </w:r>
      <w:r w:rsidR="00A70FBB" w:rsidRPr="00A70FBB">
        <w:rPr>
          <w:rFonts w:cs="Arial"/>
        </w:rPr>
        <w:t>33.68</w:t>
      </w:r>
      <w:r w:rsidR="000416F1" w:rsidRPr="00A70FBB">
        <w:rPr>
          <w:rFonts w:cs="Arial"/>
        </w:rPr>
        <w:t xml:space="preserve"> </w:t>
      </w:r>
      <w:r w:rsidR="004434F4" w:rsidRPr="00A70FBB">
        <w:rPr>
          <w:rFonts w:cs="Arial"/>
        </w:rPr>
        <w:t>per week</w:t>
      </w:r>
      <w:r w:rsidR="33C1318B" w:rsidRPr="00A70FBB">
        <w:rPr>
          <w:rFonts w:cs="Arial"/>
        </w:rPr>
        <w:t>.</w:t>
      </w:r>
    </w:p>
    <w:p w14:paraId="2BFA9D9C" w14:textId="3FEEB6FE" w:rsidR="007B2D91" w:rsidRPr="00026DCF" w:rsidRDefault="7048AD01" w:rsidP="009046B9">
      <w:pPr>
        <w:pStyle w:val="ListParagraph"/>
        <w:numPr>
          <w:ilvl w:val="0"/>
          <w:numId w:val="4"/>
        </w:numPr>
        <w:tabs>
          <w:tab w:val="num" w:pos="1134"/>
        </w:tabs>
        <w:ind w:left="1134" w:hanging="567"/>
        <w:rPr>
          <w:rFonts w:cs="Arial"/>
        </w:rPr>
      </w:pPr>
      <w:r w:rsidRPr="6F9FB908">
        <w:rPr>
          <w:rFonts w:cs="Arial"/>
        </w:rPr>
        <w:lastRenderedPageBreak/>
        <w:t>Assumes new build of dwellings by the council</w:t>
      </w:r>
      <w:r w:rsidR="006C2443">
        <w:rPr>
          <w:rFonts w:cs="Arial"/>
        </w:rPr>
        <w:t>’</w:t>
      </w:r>
      <w:r w:rsidRPr="6F9FB908">
        <w:rPr>
          <w:rFonts w:cs="Arial"/>
        </w:rPr>
        <w:t xml:space="preserve">s wholly owned Housing development company </w:t>
      </w:r>
      <w:proofErr w:type="spellStart"/>
      <w:r w:rsidRPr="6F9FB908">
        <w:rPr>
          <w:rFonts w:cs="Arial"/>
        </w:rPr>
        <w:t>OXPlace</w:t>
      </w:r>
      <w:proofErr w:type="spellEnd"/>
      <w:r w:rsidRPr="6F9FB908">
        <w:rPr>
          <w:rFonts w:cs="Arial"/>
        </w:rPr>
        <w:t xml:space="preserve"> of 1,4</w:t>
      </w:r>
      <w:r w:rsidR="4248E71D" w:rsidRPr="6F9FB908">
        <w:rPr>
          <w:rFonts w:cs="Arial"/>
        </w:rPr>
        <w:t>73</w:t>
      </w:r>
      <w:r w:rsidRPr="6F9FB908">
        <w:rPr>
          <w:rFonts w:cs="Arial"/>
        </w:rPr>
        <w:t xml:space="preserve"> dwellings over the life of the </w:t>
      </w:r>
      <w:r w:rsidR="00344269" w:rsidRPr="6F9FB908">
        <w:rPr>
          <w:rFonts w:cs="Arial"/>
        </w:rPr>
        <w:t>10-year</w:t>
      </w:r>
      <w:r w:rsidR="37020B31" w:rsidRPr="6F9FB908">
        <w:rPr>
          <w:rFonts w:cs="Arial"/>
        </w:rPr>
        <w:t xml:space="preserve"> </w:t>
      </w:r>
      <w:r w:rsidRPr="6F9FB908">
        <w:rPr>
          <w:rFonts w:cs="Arial"/>
        </w:rPr>
        <w:t xml:space="preserve">development programme, </w:t>
      </w:r>
      <w:r w:rsidR="78AB1E30" w:rsidRPr="6F9FB908">
        <w:rPr>
          <w:rFonts w:cs="Arial"/>
        </w:rPr>
        <w:t xml:space="preserve">of which </w:t>
      </w:r>
      <w:r w:rsidRPr="6F9FB908">
        <w:rPr>
          <w:rFonts w:cs="Arial"/>
        </w:rPr>
        <w:t>1,</w:t>
      </w:r>
      <w:r w:rsidR="16CAB540" w:rsidRPr="6F9FB908">
        <w:rPr>
          <w:rFonts w:cs="Arial"/>
        </w:rPr>
        <w:t>049</w:t>
      </w:r>
      <w:r w:rsidRPr="6F9FB908">
        <w:rPr>
          <w:rFonts w:cs="Arial"/>
        </w:rPr>
        <w:t xml:space="preserve"> social </w:t>
      </w:r>
      <w:r w:rsidR="78AB1E30" w:rsidRPr="6F9FB908">
        <w:rPr>
          <w:rFonts w:cs="Arial"/>
        </w:rPr>
        <w:t xml:space="preserve">dwellings will be </w:t>
      </w:r>
      <w:r w:rsidRPr="6F9FB908">
        <w:rPr>
          <w:rFonts w:cs="Arial"/>
        </w:rPr>
        <w:t xml:space="preserve">sold to the Council. In </w:t>
      </w:r>
      <w:r w:rsidR="640DDE48" w:rsidRPr="6F9FB908">
        <w:rPr>
          <w:rFonts w:cs="Arial"/>
        </w:rPr>
        <w:t>addition,</w:t>
      </w:r>
      <w:r w:rsidRPr="6F9FB908">
        <w:rPr>
          <w:rFonts w:cs="Arial"/>
        </w:rPr>
        <w:t xml:space="preserve"> a </w:t>
      </w:r>
      <w:r w:rsidR="3E1F3DB2" w:rsidRPr="6F9FB908">
        <w:rPr>
          <w:rFonts w:cs="Arial"/>
        </w:rPr>
        <w:t>total of</w:t>
      </w:r>
      <w:r w:rsidRPr="6F9FB908">
        <w:rPr>
          <w:rFonts w:cs="Arial"/>
        </w:rPr>
        <w:t xml:space="preserve"> 352 social dwellings will be acquired by the </w:t>
      </w:r>
      <w:r w:rsidR="2B9E95DB" w:rsidRPr="6F9FB908">
        <w:rPr>
          <w:rFonts w:cs="Arial"/>
        </w:rPr>
        <w:t>HRA</w:t>
      </w:r>
      <w:r w:rsidRPr="6F9FB908">
        <w:rPr>
          <w:rFonts w:cs="Arial"/>
        </w:rPr>
        <w:t xml:space="preserve"> </w:t>
      </w:r>
      <w:r w:rsidR="6D8CCA3F" w:rsidRPr="6F9FB908">
        <w:rPr>
          <w:rFonts w:cs="Arial"/>
        </w:rPr>
        <w:t>at</w:t>
      </w:r>
      <w:r w:rsidRPr="6F9FB908">
        <w:rPr>
          <w:rFonts w:cs="Arial"/>
        </w:rPr>
        <w:t xml:space="preserve"> the Barton development</w:t>
      </w:r>
      <w:r w:rsidR="24722D7F" w:rsidRPr="6F9FB908">
        <w:rPr>
          <w:rFonts w:cs="Arial"/>
        </w:rPr>
        <w:t>.</w:t>
      </w:r>
      <w:r w:rsidRPr="6F9FB908">
        <w:rPr>
          <w:rFonts w:cs="Arial"/>
        </w:rPr>
        <w:t xml:space="preserve"> </w:t>
      </w:r>
    </w:p>
    <w:p w14:paraId="31BC70EC" w14:textId="57D3C843" w:rsidR="00BF5E24" w:rsidRPr="00497950" w:rsidRDefault="00E153C3" w:rsidP="009046B9">
      <w:pPr>
        <w:pStyle w:val="ListParagraph"/>
        <w:numPr>
          <w:ilvl w:val="0"/>
          <w:numId w:val="4"/>
        </w:numPr>
        <w:ind w:left="1134" w:hanging="567"/>
        <w:rPr>
          <w:rFonts w:cs="Arial"/>
        </w:rPr>
      </w:pPr>
      <w:r w:rsidRPr="00497950">
        <w:rPr>
          <w:rFonts w:cs="Arial"/>
        </w:rPr>
        <w:t xml:space="preserve">Includes </w:t>
      </w:r>
      <w:r w:rsidR="00811C54" w:rsidRPr="00497950">
        <w:rPr>
          <w:rFonts w:cs="Arial"/>
        </w:rPr>
        <w:t xml:space="preserve">spend on </w:t>
      </w:r>
      <w:r w:rsidR="0023288D" w:rsidRPr="00497950">
        <w:rPr>
          <w:rFonts w:cs="Arial"/>
        </w:rPr>
        <w:t xml:space="preserve">energy works and </w:t>
      </w:r>
      <w:r w:rsidR="00811C54" w:rsidRPr="00497950">
        <w:rPr>
          <w:rFonts w:cs="Arial"/>
        </w:rPr>
        <w:t>reducing carbon emissions over the next f</w:t>
      </w:r>
      <w:r w:rsidR="0023288D" w:rsidRPr="00497950">
        <w:rPr>
          <w:rFonts w:cs="Arial"/>
        </w:rPr>
        <w:t>ive</w:t>
      </w:r>
      <w:r w:rsidR="00811C54" w:rsidRPr="00497950">
        <w:rPr>
          <w:rFonts w:cs="Arial"/>
        </w:rPr>
        <w:t xml:space="preserve"> years of </w:t>
      </w:r>
      <w:r w:rsidR="00BF5E24" w:rsidRPr="00497950">
        <w:rPr>
          <w:rFonts w:cs="Arial"/>
        </w:rPr>
        <w:t>over £</w:t>
      </w:r>
      <w:r w:rsidR="00497950" w:rsidRPr="00497950">
        <w:rPr>
          <w:rFonts w:cs="Arial"/>
        </w:rPr>
        <w:t>22</w:t>
      </w:r>
      <w:r w:rsidR="001837DB" w:rsidRPr="00497950">
        <w:rPr>
          <w:rFonts w:cs="Arial"/>
        </w:rPr>
        <w:t xml:space="preserve"> million in relation to council housing</w:t>
      </w:r>
      <w:r w:rsidR="00F66C46" w:rsidRPr="00497950">
        <w:rPr>
          <w:rFonts w:cs="Arial"/>
        </w:rPr>
        <w:t>.</w:t>
      </w:r>
      <w:r w:rsidR="004434F4" w:rsidRPr="00497950">
        <w:rPr>
          <w:rFonts w:cs="Arial"/>
        </w:rPr>
        <w:t xml:space="preserve"> </w:t>
      </w:r>
    </w:p>
    <w:p w14:paraId="03E5D2C1" w14:textId="633066CA" w:rsidR="00245C11" w:rsidRPr="00B97007" w:rsidRDefault="001837DB" w:rsidP="009046B9">
      <w:pPr>
        <w:pStyle w:val="ListParagraph"/>
        <w:numPr>
          <w:ilvl w:val="0"/>
          <w:numId w:val="4"/>
        </w:numPr>
        <w:tabs>
          <w:tab w:val="num" w:pos="1134"/>
        </w:tabs>
        <w:ind w:left="1134" w:hanging="567"/>
        <w:rPr>
          <w:rFonts w:cs="Arial"/>
        </w:rPr>
      </w:pPr>
      <w:r w:rsidRPr="00497950">
        <w:rPr>
          <w:rFonts w:cs="Arial"/>
        </w:rPr>
        <w:t>F</w:t>
      </w:r>
      <w:r w:rsidR="009829F6" w:rsidRPr="00497950">
        <w:rPr>
          <w:rFonts w:cs="Arial"/>
        </w:rPr>
        <w:t xml:space="preserve">acilitates </w:t>
      </w:r>
      <w:r w:rsidR="00367883" w:rsidRPr="00497950">
        <w:rPr>
          <w:rFonts w:cs="Arial"/>
        </w:rPr>
        <w:t>capital investment o</w:t>
      </w:r>
      <w:r w:rsidR="00AC1E36" w:rsidRPr="00497950">
        <w:rPr>
          <w:rFonts w:cs="Arial"/>
        </w:rPr>
        <w:t>f</w:t>
      </w:r>
      <w:r w:rsidR="00367883" w:rsidRPr="00497950">
        <w:rPr>
          <w:rFonts w:cs="Arial"/>
        </w:rPr>
        <w:t xml:space="preserve"> £</w:t>
      </w:r>
      <w:r w:rsidR="00B97007" w:rsidRPr="00497950">
        <w:rPr>
          <w:rFonts w:cs="Arial"/>
        </w:rPr>
        <w:t>710</w:t>
      </w:r>
      <w:r w:rsidR="00C33670" w:rsidRPr="00497950">
        <w:rPr>
          <w:rFonts w:cs="Arial"/>
        </w:rPr>
        <w:t xml:space="preserve"> million</w:t>
      </w:r>
      <w:r w:rsidR="00367883" w:rsidRPr="00497950">
        <w:rPr>
          <w:rFonts w:cs="Arial"/>
        </w:rPr>
        <w:t xml:space="preserve"> </w:t>
      </w:r>
      <w:r w:rsidR="00C33670" w:rsidRPr="00497950">
        <w:rPr>
          <w:rFonts w:cs="Arial"/>
        </w:rPr>
        <w:t xml:space="preserve">over the </w:t>
      </w:r>
      <w:r w:rsidR="0006697E" w:rsidRPr="00497950">
        <w:rPr>
          <w:rFonts w:cs="Arial"/>
        </w:rPr>
        <w:t xml:space="preserve">next </w:t>
      </w:r>
      <w:r w:rsidR="62725032" w:rsidRPr="00497950">
        <w:rPr>
          <w:rFonts w:cs="Arial"/>
        </w:rPr>
        <w:t>five</w:t>
      </w:r>
      <w:r w:rsidR="62725032" w:rsidRPr="00B97007">
        <w:rPr>
          <w:rFonts w:cs="Arial"/>
        </w:rPr>
        <w:t>-year</w:t>
      </w:r>
      <w:r w:rsidR="00C33670" w:rsidRPr="00B97007">
        <w:rPr>
          <w:rFonts w:cs="Arial"/>
        </w:rPr>
        <w:t xml:space="preserve"> period</w:t>
      </w:r>
      <w:r w:rsidR="008841D4" w:rsidRPr="00B97007">
        <w:rPr>
          <w:rFonts w:cs="Arial"/>
        </w:rPr>
        <w:t>.</w:t>
      </w:r>
      <w:r w:rsidR="00C33670" w:rsidRPr="00B97007">
        <w:rPr>
          <w:rFonts w:cs="Arial"/>
        </w:rPr>
        <w:t xml:space="preserve"> </w:t>
      </w:r>
    </w:p>
    <w:p w14:paraId="27FBEA13" w14:textId="77777777" w:rsidR="008841D4" w:rsidRPr="00B96FC0" w:rsidRDefault="008841D4" w:rsidP="008841D4">
      <w:pPr>
        <w:pStyle w:val="ListParagraph"/>
        <w:ind w:left="1134"/>
        <w:rPr>
          <w:rFonts w:cs="Arial"/>
          <w:highlight w:val="yellow"/>
        </w:rPr>
      </w:pPr>
    </w:p>
    <w:p w14:paraId="22D2D882" w14:textId="2EB1C98D" w:rsidR="00E51BBC" w:rsidRPr="00B97007" w:rsidRDefault="00CC1EE8" w:rsidP="009046B9">
      <w:pPr>
        <w:pStyle w:val="ListParagraph"/>
        <w:numPr>
          <w:ilvl w:val="0"/>
          <w:numId w:val="10"/>
        </w:numPr>
        <w:ind w:right="386" w:hanging="720"/>
        <w:rPr>
          <w:rFonts w:cs="Arial"/>
        </w:rPr>
      </w:pPr>
      <w:r w:rsidRPr="00B97007">
        <w:rPr>
          <w:rFonts w:cs="Arial"/>
        </w:rPr>
        <w:t xml:space="preserve">For ease of </w:t>
      </w:r>
      <w:r w:rsidR="00344269" w:rsidRPr="00B97007">
        <w:rPr>
          <w:rFonts w:cs="Arial"/>
        </w:rPr>
        <w:t>reading,</w:t>
      </w:r>
      <w:r w:rsidRPr="00B97007">
        <w:rPr>
          <w:rFonts w:cs="Arial"/>
        </w:rPr>
        <w:t xml:space="preserve"> the report is split into four </w:t>
      </w:r>
      <w:r w:rsidR="0D9DCD4F" w:rsidRPr="00B97007">
        <w:rPr>
          <w:rFonts w:cs="Arial"/>
        </w:rPr>
        <w:t>sections:</w:t>
      </w:r>
    </w:p>
    <w:p w14:paraId="0DC8B504" w14:textId="77777777" w:rsidR="00427B24" w:rsidRPr="00B97007" w:rsidRDefault="00427B24" w:rsidP="00B80EBF">
      <w:pPr>
        <w:tabs>
          <w:tab w:val="num" w:pos="567"/>
        </w:tabs>
        <w:ind w:left="567" w:right="386"/>
        <w:rPr>
          <w:rFonts w:cs="Arial"/>
        </w:rPr>
      </w:pPr>
    </w:p>
    <w:p w14:paraId="67D5205C" w14:textId="4CA1EE4A" w:rsidR="00E51BBC" w:rsidRPr="00B97007" w:rsidRDefault="00427B24" w:rsidP="00416EFF">
      <w:pPr>
        <w:ind w:left="709" w:right="386" w:hanging="567"/>
        <w:rPr>
          <w:rFonts w:cs="Arial"/>
          <w:b/>
        </w:rPr>
      </w:pPr>
      <w:r w:rsidRPr="00B97007">
        <w:rPr>
          <w:rFonts w:cs="Arial"/>
        </w:rPr>
        <w:tab/>
      </w:r>
      <w:r w:rsidR="00C37005" w:rsidRPr="00B97007">
        <w:rPr>
          <w:rFonts w:cs="Arial"/>
          <w:b/>
        </w:rPr>
        <w:t xml:space="preserve">Section </w:t>
      </w:r>
      <w:r w:rsidR="008E5CE0" w:rsidRPr="00B97007">
        <w:rPr>
          <w:rFonts w:cs="Arial"/>
          <w:b/>
        </w:rPr>
        <w:t>A</w:t>
      </w:r>
      <w:r w:rsidR="00C37005" w:rsidRPr="00B97007">
        <w:rPr>
          <w:rFonts w:cs="Arial"/>
          <w:b/>
        </w:rPr>
        <w:t xml:space="preserve"> Economic context, our priorities and budget setting strategy</w:t>
      </w:r>
    </w:p>
    <w:p w14:paraId="76475551" w14:textId="77777777" w:rsidR="00E51BBC" w:rsidRPr="00B97007" w:rsidRDefault="00A06FF7" w:rsidP="00416EFF">
      <w:pPr>
        <w:ind w:left="709" w:right="386" w:hanging="567"/>
        <w:rPr>
          <w:rFonts w:cs="Arial"/>
          <w:b/>
        </w:rPr>
      </w:pPr>
      <w:r w:rsidRPr="00B97007">
        <w:rPr>
          <w:rFonts w:cs="Arial"/>
          <w:b/>
        </w:rPr>
        <w:tab/>
      </w:r>
      <w:r w:rsidR="00E51BBC" w:rsidRPr="00B97007">
        <w:rPr>
          <w:rFonts w:cs="Arial"/>
          <w:b/>
        </w:rPr>
        <w:t>Section B General Fund Revenue Budget</w:t>
      </w:r>
    </w:p>
    <w:p w14:paraId="29A0F3D9" w14:textId="77777777" w:rsidR="00E51BBC" w:rsidRPr="00B97007" w:rsidRDefault="00A06FF7" w:rsidP="00416EFF">
      <w:pPr>
        <w:ind w:left="709" w:right="386" w:hanging="567"/>
        <w:rPr>
          <w:rFonts w:cs="Arial"/>
          <w:b/>
        </w:rPr>
      </w:pPr>
      <w:r w:rsidRPr="00B97007">
        <w:rPr>
          <w:rFonts w:cs="Arial"/>
          <w:b/>
        </w:rPr>
        <w:tab/>
      </w:r>
      <w:r w:rsidR="00E51BBC" w:rsidRPr="00B97007">
        <w:rPr>
          <w:rFonts w:cs="Arial"/>
          <w:b/>
        </w:rPr>
        <w:t>Section C</w:t>
      </w:r>
      <w:r w:rsidR="004C07CE" w:rsidRPr="00B97007">
        <w:rPr>
          <w:rFonts w:cs="Arial"/>
          <w:b/>
        </w:rPr>
        <w:t xml:space="preserve"> Housing Revenue A</w:t>
      </w:r>
      <w:r w:rsidR="00E51BBC" w:rsidRPr="00B97007">
        <w:rPr>
          <w:rFonts w:cs="Arial"/>
          <w:b/>
        </w:rPr>
        <w:t>ccount (HRA) Budget</w:t>
      </w:r>
    </w:p>
    <w:p w14:paraId="1EB78335" w14:textId="77777777" w:rsidR="00E51BBC" w:rsidRPr="00B97007" w:rsidRDefault="004B50C0" w:rsidP="00416EFF">
      <w:pPr>
        <w:ind w:left="709" w:right="386" w:hanging="567"/>
        <w:rPr>
          <w:rFonts w:cs="Arial"/>
          <w:b/>
        </w:rPr>
      </w:pPr>
      <w:r w:rsidRPr="00B97007">
        <w:rPr>
          <w:rFonts w:cs="Arial"/>
          <w:b/>
        </w:rPr>
        <w:tab/>
      </w:r>
      <w:r w:rsidR="00E51BBC" w:rsidRPr="00B97007">
        <w:rPr>
          <w:rFonts w:cs="Arial"/>
          <w:b/>
        </w:rPr>
        <w:t xml:space="preserve">Section D Capital </w:t>
      </w:r>
      <w:r w:rsidR="005C72B1" w:rsidRPr="00B97007">
        <w:rPr>
          <w:rFonts w:cs="Arial"/>
          <w:b/>
        </w:rPr>
        <w:t>Programme</w:t>
      </w:r>
    </w:p>
    <w:p w14:paraId="013144A6" w14:textId="77777777" w:rsidR="00FE6AC6" w:rsidRPr="00B97007" w:rsidRDefault="00FE6AC6" w:rsidP="00416EFF">
      <w:pPr>
        <w:tabs>
          <w:tab w:val="num" w:pos="567"/>
          <w:tab w:val="num" w:pos="709"/>
        </w:tabs>
        <w:ind w:left="567" w:right="386" w:hanging="567"/>
        <w:rPr>
          <w:rFonts w:cs="Arial"/>
          <w:b/>
        </w:rPr>
      </w:pPr>
    </w:p>
    <w:p w14:paraId="5A235737" w14:textId="4940A54B" w:rsidR="001718F2" w:rsidRPr="00B96FC0" w:rsidRDefault="00E51BBC" w:rsidP="008E6156">
      <w:pPr>
        <w:ind w:right="386" w:firstLine="709"/>
        <w:rPr>
          <w:rFonts w:cs="Arial"/>
          <w:b/>
        </w:rPr>
      </w:pPr>
      <w:r w:rsidRPr="00B97007">
        <w:rPr>
          <w:rFonts w:cs="Arial"/>
          <w:b/>
        </w:rPr>
        <w:t>Section</w:t>
      </w:r>
      <w:r w:rsidRPr="429BA7AB">
        <w:rPr>
          <w:rFonts w:cs="Arial"/>
          <w:b/>
        </w:rPr>
        <w:t xml:space="preserve"> </w:t>
      </w:r>
      <w:r w:rsidR="008E5CE0" w:rsidRPr="429BA7AB">
        <w:rPr>
          <w:rFonts w:cs="Arial"/>
          <w:b/>
        </w:rPr>
        <w:t>A -</w:t>
      </w:r>
      <w:r w:rsidRPr="429BA7AB">
        <w:rPr>
          <w:rFonts w:cs="Arial"/>
          <w:b/>
        </w:rPr>
        <w:t xml:space="preserve"> Background and Context</w:t>
      </w:r>
    </w:p>
    <w:p w14:paraId="18D5BAB1" w14:textId="77777777" w:rsidR="00E91599" w:rsidRPr="00B96FC0" w:rsidRDefault="00E91599" w:rsidP="00B80EBF">
      <w:pPr>
        <w:tabs>
          <w:tab w:val="left" w:pos="360"/>
        </w:tabs>
        <w:ind w:right="386"/>
        <w:rPr>
          <w:rFonts w:cs="Arial"/>
        </w:rPr>
      </w:pPr>
    </w:p>
    <w:p w14:paraId="5A67D1D8" w14:textId="77777777" w:rsidR="00902055" w:rsidRPr="00B96FC0" w:rsidRDefault="00071B82" w:rsidP="00416EFF">
      <w:pPr>
        <w:pStyle w:val="ListParagraph"/>
        <w:ind w:right="386"/>
        <w:rPr>
          <w:rFonts w:cs="Arial"/>
          <w:b/>
        </w:rPr>
      </w:pPr>
      <w:r w:rsidRPr="429BA7AB">
        <w:rPr>
          <w:rFonts w:cs="Arial"/>
          <w:b/>
        </w:rPr>
        <w:t>Background</w:t>
      </w:r>
      <w:r w:rsidR="00AA3E93" w:rsidRPr="429BA7AB">
        <w:rPr>
          <w:rFonts w:cs="Arial"/>
          <w:b/>
        </w:rPr>
        <w:t xml:space="preserve"> </w:t>
      </w:r>
    </w:p>
    <w:p w14:paraId="5BEA387D" w14:textId="77777777" w:rsidR="004E7A86" w:rsidRPr="00B96FC0" w:rsidRDefault="004E7A86" w:rsidP="00B80EBF">
      <w:pPr>
        <w:ind w:left="900" w:right="386" w:hanging="360"/>
        <w:rPr>
          <w:rFonts w:cs="Arial"/>
          <w:b/>
        </w:rPr>
      </w:pPr>
    </w:p>
    <w:p w14:paraId="4BC9F830" w14:textId="639ECA55" w:rsidR="00842555" w:rsidRPr="00B97007" w:rsidRDefault="004E7A86" w:rsidP="009046B9">
      <w:pPr>
        <w:pStyle w:val="ListParagraph"/>
        <w:numPr>
          <w:ilvl w:val="0"/>
          <w:numId w:val="10"/>
        </w:numPr>
        <w:ind w:right="386" w:hanging="720"/>
        <w:rPr>
          <w:rFonts w:cs="Arial"/>
        </w:rPr>
      </w:pPr>
      <w:r w:rsidRPr="429BA7AB">
        <w:rPr>
          <w:rFonts w:cs="Arial"/>
        </w:rPr>
        <w:t>This report sets out the Council</w:t>
      </w:r>
      <w:r w:rsidR="003969E2" w:rsidRPr="429BA7AB">
        <w:rPr>
          <w:rFonts w:cs="Arial"/>
        </w:rPr>
        <w:t>’</w:t>
      </w:r>
      <w:r w:rsidRPr="429BA7AB">
        <w:rPr>
          <w:rFonts w:cs="Arial"/>
        </w:rPr>
        <w:t>s financial plans for the period 20</w:t>
      </w:r>
      <w:r w:rsidR="006B1BD8" w:rsidRPr="429BA7AB">
        <w:rPr>
          <w:rFonts w:cs="Arial"/>
        </w:rPr>
        <w:t>2</w:t>
      </w:r>
      <w:r w:rsidR="3A41529A" w:rsidRPr="429BA7AB">
        <w:rPr>
          <w:rFonts w:cs="Arial"/>
        </w:rPr>
        <w:t>5</w:t>
      </w:r>
      <w:r w:rsidRPr="429BA7AB">
        <w:rPr>
          <w:rFonts w:cs="Arial"/>
        </w:rPr>
        <w:t>/</w:t>
      </w:r>
      <w:r w:rsidR="0084493A" w:rsidRPr="429BA7AB">
        <w:rPr>
          <w:rFonts w:cs="Arial"/>
        </w:rPr>
        <w:t>2</w:t>
      </w:r>
      <w:r w:rsidR="412F6598" w:rsidRPr="429BA7AB">
        <w:rPr>
          <w:rFonts w:cs="Arial"/>
        </w:rPr>
        <w:t>6</w:t>
      </w:r>
      <w:r w:rsidRPr="429BA7AB">
        <w:rPr>
          <w:rFonts w:cs="Arial"/>
        </w:rPr>
        <w:t xml:space="preserve"> to 20</w:t>
      </w:r>
      <w:r w:rsidR="0015339C" w:rsidRPr="429BA7AB">
        <w:rPr>
          <w:rFonts w:cs="Arial"/>
        </w:rPr>
        <w:t>2</w:t>
      </w:r>
      <w:r w:rsidR="6B098B07" w:rsidRPr="429BA7AB">
        <w:rPr>
          <w:rFonts w:cs="Arial"/>
        </w:rPr>
        <w:t>8</w:t>
      </w:r>
      <w:r w:rsidRPr="429BA7AB">
        <w:rPr>
          <w:rFonts w:cs="Arial"/>
        </w:rPr>
        <w:t>/</w:t>
      </w:r>
      <w:r w:rsidR="00232EDE" w:rsidRPr="429BA7AB">
        <w:rPr>
          <w:rFonts w:cs="Arial"/>
        </w:rPr>
        <w:t>2</w:t>
      </w:r>
      <w:r w:rsidR="12AD2F63" w:rsidRPr="429BA7AB">
        <w:rPr>
          <w:rFonts w:cs="Arial"/>
        </w:rPr>
        <w:t>9</w:t>
      </w:r>
      <w:r w:rsidRPr="429BA7AB">
        <w:rPr>
          <w:rFonts w:cs="Arial"/>
        </w:rPr>
        <w:t xml:space="preserve">. The plans make </w:t>
      </w:r>
      <w:r w:rsidR="008F0D26" w:rsidRPr="429BA7AB">
        <w:rPr>
          <w:rFonts w:cs="Arial"/>
        </w:rPr>
        <w:t>assumptions</w:t>
      </w:r>
      <w:r w:rsidRPr="429BA7AB">
        <w:rPr>
          <w:rFonts w:cs="Arial"/>
        </w:rPr>
        <w:t xml:space="preserve"> </w:t>
      </w:r>
      <w:r w:rsidR="003969E2" w:rsidRPr="429BA7AB">
        <w:rPr>
          <w:rFonts w:cs="Arial"/>
        </w:rPr>
        <w:t>about</w:t>
      </w:r>
      <w:r w:rsidRPr="429BA7AB">
        <w:rPr>
          <w:rFonts w:cs="Arial"/>
        </w:rPr>
        <w:t xml:space="preserve"> income from Government </w:t>
      </w:r>
      <w:r w:rsidR="0065427B" w:rsidRPr="429BA7AB">
        <w:rPr>
          <w:rFonts w:cs="Arial"/>
        </w:rPr>
        <w:t>grants</w:t>
      </w:r>
      <w:r w:rsidR="004435EE" w:rsidRPr="429BA7AB">
        <w:rPr>
          <w:rFonts w:cs="Arial"/>
        </w:rPr>
        <w:t>,</w:t>
      </w:r>
      <w:r w:rsidRPr="429BA7AB">
        <w:rPr>
          <w:rFonts w:cs="Arial"/>
        </w:rPr>
        <w:t xml:space="preserve"> </w:t>
      </w:r>
      <w:r w:rsidR="004435EE" w:rsidRPr="429BA7AB">
        <w:rPr>
          <w:rFonts w:cs="Arial"/>
        </w:rPr>
        <w:t>C</w:t>
      </w:r>
      <w:r w:rsidRPr="429BA7AB">
        <w:rPr>
          <w:rFonts w:cs="Arial"/>
        </w:rPr>
        <w:t xml:space="preserve">ouncil </w:t>
      </w:r>
      <w:proofErr w:type="gramStart"/>
      <w:r w:rsidR="004435EE" w:rsidRPr="429BA7AB">
        <w:rPr>
          <w:rFonts w:cs="Arial"/>
        </w:rPr>
        <w:t>T</w:t>
      </w:r>
      <w:r w:rsidRPr="429BA7AB">
        <w:rPr>
          <w:rFonts w:cs="Arial"/>
        </w:rPr>
        <w:t>ax</w:t>
      </w:r>
      <w:proofErr w:type="gramEnd"/>
      <w:r w:rsidRPr="429BA7AB">
        <w:rPr>
          <w:rFonts w:cs="Arial"/>
        </w:rPr>
        <w:t xml:space="preserve"> </w:t>
      </w:r>
      <w:r w:rsidR="004435EE" w:rsidRPr="429BA7AB">
        <w:rPr>
          <w:rFonts w:cs="Arial"/>
        </w:rPr>
        <w:t>and rents</w:t>
      </w:r>
      <w:r w:rsidRPr="429BA7AB">
        <w:rPr>
          <w:rFonts w:cs="Arial"/>
        </w:rPr>
        <w:t xml:space="preserve">. The plans </w:t>
      </w:r>
      <w:r w:rsidR="004435EE" w:rsidRPr="429BA7AB">
        <w:rPr>
          <w:rFonts w:cs="Arial"/>
        </w:rPr>
        <w:t xml:space="preserve">underpin </w:t>
      </w:r>
      <w:r w:rsidRPr="429BA7AB">
        <w:rPr>
          <w:rFonts w:cs="Arial"/>
        </w:rPr>
        <w:t>service</w:t>
      </w:r>
      <w:r w:rsidR="004435EE" w:rsidRPr="429BA7AB">
        <w:rPr>
          <w:rFonts w:cs="Arial"/>
        </w:rPr>
        <w:t xml:space="preserve"> provision and </w:t>
      </w:r>
      <w:r w:rsidRPr="429BA7AB">
        <w:rPr>
          <w:rFonts w:cs="Arial"/>
        </w:rPr>
        <w:t>the Council</w:t>
      </w:r>
      <w:r w:rsidR="004435EE" w:rsidRPr="429BA7AB">
        <w:rPr>
          <w:rFonts w:cs="Arial"/>
        </w:rPr>
        <w:t xml:space="preserve">’s </w:t>
      </w:r>
      <w:r w:rsidR="000409F1" w:rsidRPr="00B97007">
        <w:rPr>
          <w:rFonts w:cs="Arial"/>
        </w:rPr>
        <w:t xml:space="preserve">vision </w:t>
      </w:r>
      <w:r w:rsidRPr="00B97007">
        <w:rPr>
          <w:rFonts w:cs="Arial"/>
        </w:rPr>
        <w:t>of “Building a World Class City for Everyone”</w:t>
      </w:r>
      <w:r w:rsidR="000409F1" w:rsidRPr="00B97007">
        <w:rPr>
          <w:rFonts w:cs="Arial"/>
        </w:rPr>
        <w:t>.</w:t>
      </w:r>
      <w:r w:rsidR="00842555" w:rsidRPr="00B97007">
        <w:rPr>
          <w:rFonts w:cs="Arial"/>
        </w:rPr>
        <w:t xml:space="preserve"> </w:t>
      </w:r>
    </w:p>
    <w:p w14:paraId="6ADB8C43" w14:textId="24A073D1" w:rsidR="00842555" w:rsidRPr="007D0000" w:rsidRDefault="00842555" w:rsidP="009046B9">
      <w:pPr>
        <w:pStyle w:val="ListParagraph"/>
        <w:numPr>
          <w:ilvl w:val="0"/>
          <w:numId w:val="10"/>
        </w:numPr>
        <w:ind w:right="386" w:hanging="720"/>
        <w:rPr>
          <w:rFonts w:cs="Arial"/>
        </w:rPr>
      </w:pPr>
      <w:r w:rsidRPr="6F9FB908">
        <w:rPr>
          <w:rFonts w:cs="Arial"/>
        </w:rPr>
        <w:t xml:space="preserve">The Council operates </w:t>
      </w:r>
      <w:r w:rsidR="4F08DA4D" w:rsidRPr="6F9FB908">
        <w:rPr>
          <w:rFonts w:cs="Arial"/>
        </w:rPr>
        <w:t>the</w:t>
      </w:r>
      <w:r w:rsidRPr="6F9FB908">
        <w:rPr>
          <w:rFonts w:cs="Arial"/>
        </w:rPr>
        <w:t xml:space="preserve"> ‘Oxford Model’ which seeks to support and maintain services </w:t>
      </w:r>
      <w:r w:rsidR="00994723" w:rsidRPr="6F9FB908">
        <w:rPr>
          <w:rFonts w:cs="Arial"/>
        </w:rPr>
        <w:t>from income stream</w:t>
      </w:r>
      <w:r w:rsidR="5BE47197" w:rsidRPr="6F9FB908">
        <w:rPr>
          <w:rFonts w:cs="Arial"/>
        </w:rPr>
        <w:t>s</w:t>
      </w:r>
      <w:r w:rsidR="00994723" w:rsidRPr="6F9FB908">
        <w:rPr>
          <w:rFonts w:cs="Arial"/>
        </w:rPr>
        <w:t xml:space="preserve"> driven from fees and charges</w:t>
      </w:r>
      <w:r w:rsidR="416F250B" w:rsidRPr="6F9FB908">
        <w:rPr>
          <w:rFonts w:cs="Arial"/>
        </w:rPr>
        <w:t>, income from our assets</w:t>
      </w:r>
      <w:r w:rsidR="00994723" w:rsidRPr="6F9FB908">
        <w:rPr>
          <w:rFonts w:cs="Arial"/>
        </w:rPr>
        <w:t xml:space="preserve"> and </w:t>
      </w:r>
      <w:r w:rsidR="00994723" w:rsidRPr="007D0000">
        <w:rPr>
          <w:rFonts w:cs="Arial"/>
        </w:rPr>
        <w:t xml:space="preserve">financial returns from our wholly owned companies. A breakdown </w:t>
      </w:r>
      <w:r w:rsidR="007D0000" w:rsidRPr="007D0000">
        <w:rPr>
          <w:rFonts w:cs="Arial"/>
        </w:rPr>
        <w:t>of gross</w:t>
      </w:r>
      <w:r w:rsidR="00994723" w:rsidRPr="007D0000">
        <w:rPr>
          <w:rFonts w:cs="Arial"/>
        </w:rPr>
        <w:t xml:space="preserve"> income </w:t>
      </w:r>
      <w:r w:rsidR="1AC3222A" w:rsidRPr="007D0000">
        <w:rPr>
          <w:rFonts w:cs="Arial"/>
        </w:rPr>
        <w:t xml:space="preserve">of around £78 million from various sources is </w:t>
      </w:r>
      <w:r w:rsidR="00994723" w:rsidRPr="007D0000">
        <w:rPr>
          <w:rFonts w:cs="Arial"/>
        </w:rPr>
        <w:t xml:space="preserve">shown </w:t>
      </w:r>
      <w:r w:rsidR="007D0000" w:rsidRPr="007D0000">
        <w:rPr>
          <w:rFonts w:cs="Arial"/>
        </w:rPr>
        <w:t>graphically below</w:t>
      </w:r>
      <w:r w:rsidR="00994723" w:rsidRPr="007D0000">
        <w:rPr>
          <w:rFonts w:cs="Arial"/>
        </w:rPr>
        <w:t>.</w:t>
      </w:r>
    </w:p>
    <w:p w14:paraId="2CBE86B4" w14:textId="77777777" w:rsidR="000E0DC6" w:rsidRPr="007D0000" w:rsidRDefault="000E0DC6" w:rsidP="000E0DC6">
      <w:pPr>
        <w:ind w:right="386"/>
        <w:rPr>
          <w:rFonts w:cs="Arial"/>
        </w:rPr>
      </w:pPr>
    </w:p>
    <w:p w14:paraId="4C89C6E7" w14:textId="61B22D2F" w:rsidR="00962190" w:rsidRPr="00B97007" w:rsidRDefault="16AEED48" w:rsidP="12B5E433">
      <w:pPr>
        <w:ind w:right="386" w:firstLine="720"/>
        <w:rPr>
          <w:rFonts w:cs="Arial"/>
          <w:b/>
          <w:bCs/>
        </w:rPr>
      </w:pPr>
      <w:r w:rsidRPr="007D0000">
        <w:rPr>
          <w:rFonts w:cs="Arial"/>
          <w:b/>
          <w:bCs/>
        </w:rPr>
        <w:t>T</w:t>
      </w:r>
      <w:r w:rsidR="1278DF05" w:rsidRPr="007D0000">
        <w:rPr>
          <w:rFonts w:cs="Arial"/>
          <w:b/>
          <w:bCs/>
        </w:rPr>
        <w:t xml:space="preserve">able </w:t>
      </w:r>
      <w:proofErr w:type="gramStart"/>
      <w:r w:rsidR="1278DF05" w:rsidRPr="007D0000">
        <w:rPr>
          <w:rFonts w:cs="Arial"/>
          <w:b/>
          <w:bCs/>
        </w:rPr>
        <w:t>1 :</w:t>
      </w:r>
      <w:proofErr w:type="gramEnd"/>
      <w:r w:rsidR="1278DF05" w:rsidRPr="007D0000">
        <w:rPr>
          <w:rFonts w:cs="Arial"/>
          <w:b/>
          <w:bCs/>
        </w:rPr>
        <w:t xml:space="preserve"> General Fund Revenue Income 202</w:t>
      </w:r>
      <w:r w:rsidR="1980C7B6" w:rsidRPr="007D0000">
        <w:rPr>
          <w:rFonts w:cs="Arial"/>
          <w:b/>
          <w:bCs/>
        </w:rPr>
        <w:t>4</w:t>
      </w:r>
      <w:r w:rsidR="1278DF05" w:rsidRPr="00B97007">
        <w:rPr>
          <w:rFonts w:cs="Arial"/>
          <w:b/>
          <w:bCs/>
        </w:rPr>
        <w:t>-2</w:t>
      </w:r>
      <w:r w:rsidR="13D65287" w:rsidRPr="00B97007">
        <w:rPr>
          <w:rFonts w:cs="Arial"/>
          <w:b/>
          <w:bCs/>
        </w:rPr>
        <w:t>5</w:t>
      </w:r>
    </w:p>
    <w:p w14:paraId="41ECB66F" w14:textId="77777777" w:rsidR="00161215" w:rsidRPr="00B97007" w:rsidRDefault="00161215" w:rsidP="00ED2696">
      <w:pPr>
        <w:ind w:right="386" w:firstLine="720"/>
        <w:rPr>
          <w:rFonts w:cs="Arial"/>
          <w:b/>
        </w:rPr>
      </w:pPr>
    </w:p>
    <w:p w14:paraId="03A0D6D0" w14:textId="2ACA58B2" w:rsidR="00842555" w:rsidRPr="00B96FC0" w:rsidRDefault="00586930" w:rsidP="00842555">
      <w:pPr>
        <w:pStyle w:val="ListParagraph"/>
        <w:ind w:right="386" w:hanging="720"/>
        <w:rPr>
          <w:rFonts w:cs="Arial"/>
          <w:highlight w:val="yellow"/>
        </w:rPr>
      </w:pPr>
      <w:r w:rsidRPr="00B96FC0">
        <w:rPr>
          <w:rFonts w:cs="Arial"/>
          <w:noProof/>
          <w:highlight w:val="yellow"/>
          <w:lang w:eastAsia="en-GB"/>
        </w:rPr>
        <w:drawing>
          <wp:inline distT="0" distB="0" distL="0" distR="0" wp14:anchorId="7113D32E" wp14:editId="4A7CB1D1">
            <wp:extent cx="6084570" cy="3200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4570" cy="3200400"/>
                    </a:xfrm>
                    <a:prstGeom prst="rect">
                      <a:avLst/>
                    </a:prstGeom>
                    <a:noFill/>
                  </pic:spPr>
                </pic:pic>
              </a:graphicData>
            </a:graphic>
          </wp:inline>
        </w:drawing>
      </w:r>
    </w:p>
    <w:p w14:paraId="18596AA2" w14:textId="77777777" w:rsidR="00E1346E" w:rsidRPr="009174A4" w:rsidRDefault="00E1346E" w:rsidP="6F9FB908">
      <w:pPr>
        <w:pStyle w:val="ListParagraph"/>
        <w:tabs>
          <w:tab w:val="left" w:pos="450"/>
        </w:tabs>
        <w:ind w:left="0" w:right="386"/>
        <w:rPr>
          <w:rFonts w:cs="Arial"/>
          <w:u w:val="single"/>
        </w:rPr>
      </w:pPr>
    </w:p>
    <w:p w14:paraId="395C8B50" w14:textId="2FA01519" w:rsidR="00E1346E" w:rsidRPr="009174A4" w:rsidRDefault="00E1346E" w:rsidP="6F9FB908">
      <w:pPr>
        <w:pStyle w:val="ListParagraph"/>
        <w:tabs>
          <w:tab w:val="left" w:pos="709"/>
        </w:tabs>
        <w:ind w:left="709" w:right="386" w:hanging="709"/>
        <w:rPr>
          <w:rFonts w:cs="Arial"/>
        </w:rPr>
      </w:pPr>
      <w:r w:rsidRPr="009174A4">
        <w:rPr>
          <w:rFonts w:cs="Arial"/>
        </w:rPr>
        <w:lastRenderedPageBreak/>
        <w:t>6</w:t>
      </w:r>
      <w:r>
        <w:tab/>
      </w:r>
      <w:r>
        <w:tab/>
      </w:r>
      <w:r w:rsidRPr="009174A4">
        <w:rPr>
          <w:rFonts w:cs="Arial"/>
        </w:rPr>
        <w:t>Over half of our financial resources are derived from sources generated by the Council, with 10% being delivered by the Council</w:t>
      </w:r>
      <w:r w:rsidR="25A716FC" w:rsidRPr="009174A4">
        <w:rPr>
          <w:rFonts w:cs="Arial"/>
        </w:rPr>
        <w:t>’</w:t>
      </w:r>
      <w:r w:rsidRPr="009174A4">
        <w:rPr>
          <w:rFonts w:cs="Arial"/>
        </w:rPr>
        <w:t xml:space="preserve">s wholly owned companies </w:t>
      </w:r>
      <w:proofErr w:type="spellStart"/>
      <w:r w:rsidRPr="009174A4">
        <w:rPr>
          <w:rFonts w:cs="Arial"/>
        </w:rPr>
        <w:t>OXPlace</w:t>
      </w:r>
      <w:proofErr w:type="spellEnd"/>
      <w:r w:rsidRPr="009174A4">
        <w:rPr>
          <w:rFonts w:cs="Arial"/>
        </w:rPr>
        <w:t xml:space="preserve"> and ODS. This level of income maximisation requires a commensurate level of staff, providing technical knowledge and professionalism without which the council</w:t>
      </w:r>
      <w:r w:rsidR="00DD577A">
        <w:rPr>
          <w:rFonts w:cs="Arial"/>
        </w:rPr>
        <w:t xml:space="preserve"> would need</w:t>
      </w:r>
      <w:r w:rsidRPr="009174A4">
        <w:rPr>
          <w:rFonts w:cs="Arial"/>
        </w:rPr>
        <w:t xml:space="preserve"> to make unprecedented cuts in its services. </w:t>
      </w:r>
    </w:p>
    <w:p w14:paraId="2E595A53" w14:textId="77777777" w:rsidR="00E1346E" w:rsidRPr="00B96FC0" w:rsidRDefault="00E1346E" w:rsidP="001B71E1">
      <w:pPr>
        <w:pStyle w:val="ListParagraph"/>
        <w:tabs>
          <w:tab w:val="left" w:pos="450"/>
        </w:tabs>
        <w:ind w:left="0" w:right="386"/>
        <w:rPr>
          <w:rFonts w:cs="Arial"/>
          <w:b/>
          <w:highlight w:val="yellow"/>
        </w:rPr>
      </w:pPr>
    </w:p>
    <w:p w14:paraId="245796D0" w14:textId="04A0D5BB" w:rsidR="00F26290" w:rsidRPr="00B96FC0" w:rsidRDefault="00446063" w:rsidP="001B71E1">
      <w:pPr>
        <w:pStyle w:val="ListParagraph"/>
        <w:tabs>
          <w:tab w:val="left" w:pos="450"/>
        </w:tabs>
        <w:ind w:left="0" w:right="386"/>
        <w:rPr>
          <w:rFonts w:cs="Arial"/>
        </w:rPr>
      </w:pPr>
      <w:r w:rsidRPr="78AF1851">
        <w:rPr>
          <w:rFonts w:cs="Arial"/>
          <w:b/>
        </w:rPr>
        <w:t>Inflation</w:t>
      </w:r>
    </w:p>
    <w:p w14:paraId="4B947E20" w14:textId="465EB993" w:rsidR="008841D4" w:rsidRPr="00B96FC0" w:rsidRDefault="096F835B" w:rsidP="009046B9">
      <w:pPr>
        <w:pStyle w:val="ListParagraph"/>
        <w:numPr>
          <w:ilvl w:val="0"/>
          <w:numId w:val="28"/>
        </w:numPr>
        <w:ind w:right="386" w:hanging="720"/>
      </w:pPr>
      <w:r>
        <w:t>Consumer Price Index (</w:t>
      </w:r>
      <w:r w:rsidR="006641F9">
        <w:t>CPI</w:t>
      </w:r>
      <w:r w:rsidR="10A02BE0">
        <w:t>)</w:t>
      </w:r>
      <w:r w:rsidR="006641F9">
        <w:t xml:space="preserve"> inflation rose by </w:t>
      </w:r>
      <w:r w:rsidR="13DD4FCB">
        <w:t>1</w:t>
      </w:r>
      <w:r w:rsidR="006641F9">
        <w:t xml:space="preserve">.7% in the 12 </w:t>
      </w:r>
      <w:r w:rsidR="00E60DBF">
        <w:t>months</w:t>
      </w:r>
      <w:r w:rsidR="006641F9">
        <w:t xml:space="preserve"> to </w:t>
      </w:r>
      <w:r w:rsidR="00E60DBF">
        <w:t>September</w:t>
      </w:r>
      <w:r w:rsidR="006641F9">
        <w:t xml:space="preserve"> 202</w:t>
      </w:r>
      <w:r w:rsidR="6231805B">
        <w:t>4</w:t>
      </w:r>
      <w:r w:rsidR="00322E6C">
        <w:t xml:space="preserve"> </w:t>
      </w:r>
      <w:r w:rsidR="69F0956D">
        <w:t xml:space="preserve">down from 2.2% </w:t>
      </w:r>
      <w:r w:rsidR="006641F9">
        <w:t xml:space="preserve">in </w:t>
      </w:r>
      <w:r w:rsidR="00E60DBF">
        <w:t>A</w:t>
      </w:r>
      <w:r w:rsidR="006641F9">
        <w:t xml:space="preserve">ugust. </w:t>
      </w:r>
      <w:r w:rsidR="4BA40B6B">
        <w:t>R</w:t>
      </w:r>
      <w:r w:rsidR="0126A07E">
        <w:t xml:space="preserve">etail </w:t>
      </w:r>
      <w:r w:rsidR="4BA40B6B">
        <w:t>P</w:t>
      </w:r>
      <w:r w:rsidR="4D7CB3E4">
        <w:t>rice Index (</w:t>
      </w:r>
      <w:r w:rsidR="05EB8D91">
        <w:t>RPI</w:t>
      </w:r>
      <w:r w:rsidR="4D7CB3E4">
        <w:t>)</w:t>
      </w:r>
      <w:r w:rsidR="05EB8D91">
        <w:t xml:space="preserve"> for the same period is 2.7%</w:t>
      </w:r>
      <w:r w:rsidR="41659DF5">
        <w:t xml:space="preserve"> down from 3.5% in August 2024.</w:t>
      </w:r>
      <w:r w:rsidR="373CA38C">
        <w:t xml:space="preserve"> The budgets for most supplies and services that the council purchases are cash limited and therefore any increase in inflation represents </w:t>
      </w:r>
      <w:r w:rsidR="424B9AC1">
        <w:t>real terms</w:t>
      </w:r>
      <w:r w:rsidR="373CA38C">
        <w:t xml:space="preserve"> c</w:t>
      </w:r>
      <w:r w:rsidR="5FDABC59">
        <w:t>ut for service managers.</w:t>
      </w:r>
      <w:r w:rsidR="373CA38C">
        <w:t xml:space="preserve"> </w:t>
      </w:r>
    </w:p>
    <w:p w14:paraId="79E82F51" w14:textId="2FF39980" w:rsidR="78AF1851" w:rsidRDefault="78AF1851" w:rsidP="78AF1851">
      <w:pPr>
        <w:pStyle w:val="ListParagraph"/>
        <w:ind w:right="386" w:hanging="720"/>
      </w:pPr>
    </w:p>
    <w:p w14:paraId="6CFD31A7" w14:textId="6C08BEEA" w:rsidR="001B71E1" w:rsidRPr="00B96FC0" w:rsidRDefault="00446063" w:rsidP="001B71E1">
      <w:pPr>
        <w:pStyle w:val="ListParagraph"/>
        <w:ind w:left="709" w:right="386"/>
        <w:rPr>
          <w:b/>
        </w:rPr>
      </w:pPr>
      <w:r w:rsidRPr="78AF1851">
        <w:rPr>
          <w:b/>
        </w:rPr>
        <w:t>T</w:t>
      </w:r>
      <w:r w:rsidR="00413090" w:rsidRPr="78AF1851">
        <w:rPr>
          <w:b/>
        </w:rPr>
        <w:t xml:space="preserve">able </w:t>
      </w:r>
      <w:r w:rsidR="00ED2696" w:rsidRPr="78AF1851">
        <w:rPr>
          <w:b/>
        </w:rPr>
        <w:t>2</w:t>
      </w:r>
      <w:r w:rsidR="00F66C46" w:rsidRPr="78AF1851">
        <w:rPr>
          <w:b/>
        </w:rPr>
        <w:t>:</w:t>
      </w:r>
      <w:r w:rsidR="00413090" w:rsidRPr="78AF1851">
        <w:rPr>
          <w:b/>
        </w:rPr>
        <w:t xml:space="preserve"> Inflation </w:t>
      </w:r>
      <w:r w:rsidR="0087246B" w:rsidRPr="78AF1851">
        <w:rPr>
          <w:b/>
        </w:rPr>
        <w:t>Forecasts</w:t>
      </w:r>
    </w:p>
    <w:p w14:paraId="4DD918BB" w14:textId="114395D5" w:rsidR="006641F9" w:rsidRPr="00B96FC0" w:rsidRDefault="3F85E796" w:rsidP="006641F9">
      <w:pPr>
        <w:ind w:right="386"/>
      </w:pPr>
      <w:r>
        <w:rPr>
          <w:noProof/>
        </w:rPr>
        <w:drawing>
          <wp:inline distT="0" distB="0" distL="0" distR="0" wp14:anchorId="735D706E" wp14:editId="680BBA01">
            <wp:extent cx="6057157" cy="2952750"/>
            <wp:effectExtent l="0" t="0" r="1270" b="0"/>
            <wp:docPr id="974637200" name="Picture 97463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637200"/>
                    <pic:cNvPicPr/>
                  </pic:nvPicPr>
                  <pic:blipFill>
                    <a:blip r:embed="rId13">
                      <a:extLst>
                        <a:ext uri="{28A0092B-C50C-407E-A947-70E740481C1C}">
                          <a14:useLocalDpi xmlns:a14="http://schemas.microsoft.com/office/drawing/2010/main" val="0"/>
                        </a:ext>
                      </a:extLst>
                    </a:blip>
                    <a:stretch>
                      <a:fillRect/>
                    </a:stretch>
                  </pic:blipFill>
                  <pic:spPr>
                    <a:xfrm>
                      <a:off x="0" y="0"/>
                      <a:ext cx="6086037" cy="2966828"/>
                    </a:xfrm>
                    <a:prstGeom prst="rect">
                      <a:avLst/>
                    </a:prstGeom>
                  </pic:spPr>
                </pic:pic>
              </a:graphicData>
            </a:graphic>
          </wp:inline>
        </w:drawing>
      </w:r>
    </w:p>
    <w:p w14:paraId="7FC9FEBA" w14:textId="77777777" w:rsidR="008009B9" w:rsidRDefault="008009B9" w:rsidP="00807F9F">
      <w:pPr>
        <w:rPr>
          <w:b/>
        </w:rPr>
      </w:pPr>
    </w:p>
    <w:p w14:paraId="01AC3526" w14:textId="77777777" w:rsidR="008009B9" w:rsidRDefault="008009B9" w:rsidP="00807F9F">
      <w:pPr>
        <w:rPr>
          <w:b/>
        </w:rPr>
      </w:pPr>
    </w:p>
    <w:p w14:paraId="64A9BFDA" w14:textId="033E2208" w:rsidR="00140D1A" w:rsidRPr="00B96FC0" w:rsidRDefault="00140D1A" w:rsidP="00807F9F">
      <w:pPr>
        <w:rPr>
          <w:b/>
        </w:rPr>
      </w:pPr>
      <w:r w:rsidRPr="78AF1851">
        <w:rPr>
          <w:b/>
        </w:rPr>
        <w:t>Interest Rate Forecasts</w:t>
      </w:r>
    </w:p>
    <w:p w14:paraId="2AB4A669" w14:textId="77777777" w:rsidR="00134321" w:rsidRPr="00B96FC0" w:rsidRDefault="00134321" w:rsidP="00807F9F">
      <w:pPr>
        <w:pStyle w:val="ListParagraph"/>
        <w:ind w:left="709"/>
        <w:rPr>
          <w:b/>
        </w:rPr>
      </w:pPr>
    </w:p>
    <w:p w14:paraId="5415BFF9" w14:textId="34871C3D" w:rsidR="00832D29" w:rsidRPr="00B96FC0" w:rsidRDefault="00832D29" w:rsidP="009046B9">
      <w:pPr>
        <w:pStyle w:val="ListParagraph"/>
        <w:numPr>
          <w:ilvl w:val="0"/>
          <w:numId w:val="28"/>
        </w:numPr>
        <w:ind w:hanging="720"/>
      </w:pPr>
      <w:r>
        <w:t xml:space="preserve">On the </w:t>
      </w:r>
      <w:proofErr w:type="gramStart"/>
      <w:r w:rsidR="77CE43FE">
        <w:t>7</w:t>
      </w:r>
      <w:r w:rsidR="77CE43FE" w:rsidRPr="1EDB5DC6">
        <w:rPr>
          <w:vertAlign w:val="superscript"/>
        </w:rPr>
        <w:t>th</w:t>
      </w:r>
      <w:proofErr w:type="gramEnd"/>
      <w:r w:rsidR="77CE43FE">
        <w:t xml:space="preserve"> November</w:t>
      </w:r>
      <w:r w:rsidR="434DEFC9">
        <w:t xml:space="preserve"> </w:t>
      </w:r>
      <w:r>
        <w:t>202</w:t>
      </w:r>
      <w:r w:rsidR="344ED320">
        <w:t>4</w:t>
      </w:r>
      <w:r>
        <w:t xml:space="preserve"> t</w:t>
      </w:r>
      <w:r w:rsidR="00140D1A">
        <w:t xml:space="preserve">he Bank of England </w:t>
      </w:r>
      <w:r w:rsidR="4AE361F2">
        <w:t>cut</w:t>
      </w:r>
      <w:r w:rsidR="00390953">
        <w:t xml:space="preserve"> base rates </w:t>
      </w:r>
      <w:r w:rsidR="127ABC24">
        <w:t xml:space="preserve">from </w:t>
      </w:r>
      <w:r w:rsidR="3EE9F096">
        <w:t>5.</w:t>
      </w:r>
      <w:r w:rsidR="2C6FBCE5">
        <w:t>00</w:t>
      </w:r>
      <w:r w:rsidR="3EE9F096">
        <w:t>%</w:t>
      </w:r>
      <w:r w:rsidR="5147A6B7">
        <w:t xml:space="preserve"> to 4.75%</w:t>
      </w:r>
      <w:r w:rsidR="3EE9F096">
        <w:t xml:space="preserve">. </w:t>
      </w:r>
      <w:r w:rsidR="089DAF88">
        <w:t>This is</w:t>
      </w:r>
      <w:r w:rsidR="00390953">
        <w:t xml:space="preserve"> the second time </w:t>
      </w:r>
      <w:r w:rsidR="089DAF88">
        <w:t xml:space="preserve">the Bank of England has cut the rate after it fell from 5.25% to 5% </w:t>
      </w:r>
      <w:r w:rsidR="00390953">
        <w:t xml:space="preserve">in </w:t>
      </w:r>
      <w:r w:rsidR="089DAF88">
        <w:t xml:space="preserve">August. </w:t>
      </w:r>
      <w:r>
        <w:t>Link Asset Management, the Councils Treasury advisors, have given their view on interest rate forecasts as shown below:</w:t>
      </w:r>
    </w:p>
    <w:p w14:paraId="181B9EE3" w14:textId="77777777" w:rsidR="00E60DBF" w:rsidRPr="00B96FC0" w:rsidRDefault="00E60DBF" w:rsidP="00E60DBF">
      <w:pPr>
        <w:pStyle w:val="ListParagraph"/>
      </w:pPr>
    </w:p>
    <w:p w14:paraId="2076C32B" w14:textId="5B3819D8" w:rsidR="00CC38AB" w:rsidRPr="00B96FC0" w:rsidRDefault="1278DF05" w:rsidP="60EA432F">
      <w:pPr>
        <w:pStyle w:val="ListParagraph"/>
        <w:ind w:left="709"/>
        <w:rPr>
          <w:b/>
          <w:bCs/>
        </w:rPr>
      </w:pPr>
      <w:r w:rsidRPr="60EA432F">
        <w:rPr>
          <w:b/>
          <w:bCs/>
        </w:rPr>
        <w:t>Table 3</w:t>
      </w:r>
      <w:r w:rsidR="34F71054" w:rsidRPr="60EA432F">
        <w:rPr>
          <w:b/>
          <w:bCs/>
        </w:rPr>
        <w:t>: Interest rate forecasts f</w:t>
      </w:r>
      <w:r w:rsidR="332F7A22" w:rsidRPr="60EA432F">
        <w:rPr>
          <w:b/>
          <w:bCs/>
        </w:rPr>
        <w:t xml:space="preserve">rom December </w:t>
      </w:r>
      <w:r w:rsidR="34F71054" w:rsidRPr="60EA432F">
        <w:rPr>
          <w:b/>
          <w:bCs/>
        </w:rPr>
        <w:t>202</w:t>
      </w:r>
      <w:r w:rsidR="22BE2D38" w:rsidRPr="60EA432F">
        <w:rPr>
          <w:b/>
          <w:bCs/>
        </w:rPr>
        <w:t>4</w:t>
      </w:r>
      <w:r w:rsidR="34F71054" w:rsidRPr="60EA432F">
        <w:rPr>
          <w:b/>
          <w:bCs/>
        </w:rPr>
        <w:t xml:space="preserve"> to December </w:t>
      </w:r>
      <w:r w:rsidR="5D6E00C5" w:rsidRPr="60EA432F">
        <w:rPr>
          <w:b/>
          <w:bCs/>
        </w:rPr>
        <w:t>202</w:t>
      </w:r>
      <w:r w:rsidR="1F9B37FE" w:rsidRPr="60EA432F">
        <w:rPr>
          <w:b/>
          <w:bCs/>
        </w:rPr>
        <w:t>7</w:t>
      </w:r>
    </w:p>
    <w:p w14:paraId="4F499F96" w14:textId="6E770A0E" w:rsidR="00832D29" w:rsidRDefault="00832D29" w:rsidP="1EDB5DC6">
      <w:pPr>
        <w:rPr>
          <w:b/>
          <w:highlight w:val="yellow"/>
        </w:rPr>
      </w:pPr>
    </w:p>
    <w:p w14:paraId="38B92787" w14:textId="654A3C75" w:rsidR="0026660B" w:rsidRDefault="1C409EC9" w:rsidP="1EDB5DC6">
      <w:r>
        <w:rPr>
          <w:noProof/>
        </w:rPr>
        <w:drawing>
          <wp:inline distT="0" distB="0" distL="0" distR="0" wp14:anchorId="2DE698F4" wp14:editId="06290037">
            <wp:extent cx="6105526" cy="1019175"/>
            <wp:effectExtent l="0" t="0" r="0" b="0"/>
            <wp:docPr id="1588507501" name="Picture 158850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105526" cy="1019175"/>
                    </a:xfrm>
                    <a:prstGeom prst="rect">
                      <a:avLst/>
                    </a:prstGeom>
                  </pic:spPr>
                </pic:pic>
              </a:graphicData>
            </a:graphic>
          </wp:inline>
        </w:drawing>
      </w:r>
    </w:p>
    <w:p w14:paraId="1858824A" w14:textId="0F73FE8C" w:rsidR="00832D29" w:rsidRPr="00B96FC0" w:rsidRDefault="00832D29" w:rsidP="009046B9">
      <w:pPr>
        <w:pStyle w:val="ListParagraph"/>
        <w:numPr>
          <w:ilvl w:val="0"/>
          <w:numId w:val="28"/>
        </w:numPr>
        <w:ind w:hanging="720"/>
      </w:pPr>
      <w:r>
        <w:t xml:space="preserve">Base rates </w:t>
      </w:r>
      <w:r w:rsidR="00390953">
        <w:t xml:space="preserve">are </w:t>
      </w:r>
      <w:r w:rsidR="365D3569">
        <w:t>estimated</w:t>
      </w:r>
      <w:r w:rsidR="00390953">
        <w:t xml:space="preserve"> to </w:t>
      </w:r>
      <w:r w:rsidR="67874A8F">
        <w:t>stead</w:t>
      </w:r>
      <w:r w:rsidR="0BE60B19">
        <w:t>il</w:t>
      </w:r>
      <w:r w:rsidR="67874A8F">
        <w:t xml:space="preserve">y decline </w:t>
      </w:r>
      <w:r w:rsidR="5146D8A9">
        <w:t xml:space="preserve">over </w:t>
      </w:r>
      <w:r w:rsidR="00390953">
        <w:t xml:space="preserve">the </w:t>
      </w:r>
      <w:r w:rsidR="5146D8A9">
        <w:t>period</w:t>
      </w:r>
      <w:r w:rsidR="00390953">
        <w:t xml:space="preserve"> until </w:t>
      </w:r>
      <w:r w:rsidR="5146D8A9">
        <w:t>plateauing at 3.5%.</w:t>
      </w:r>
      <w:r>
        <w:t xml:space="preserve"> Investment earnings </w:t>
      </w:r>
      <w:r w:rsidR="00390953">
        <w:t xml:space="preserve">on cash balances and borrowing </w:t>
      </w:r>
      <w:r w:rsidR="52A298BD">
        <w:t>included</w:t>
      </w:r>
      <w:r w:rsidR="0E8E39D1">
        <w:t xml:space="preserve"> within the MTFP has used these rates. </w:t>
      </w:r>
      <w:r>
        <w:t xml:space="preserve"> </w:t>
      </w:r>
    </w:p>
    <w:p w14:paraId="68C875F1" w14:textId="77777777" w:rsidR="00832D29" w:rsidRPr="00B96FC0" w:rsidRDefault="00832D29" w:rsidP="00446063">
      <w:pPr>
        <w:pStyle w:val="ListParagraph"/>
        <w:ind w:left="709" w:hanging="720"/>
      </w:pPr>
    </w:p>
    <w:p w14:paraId="6C21A6D0" w14:textId="0B6BC87C" w:rsidR="00212320" w:rsidRPr="00B96FC0" w:rsidRDefault="007D5831" w:rsidP="009046B9">
      <w:pPr>
        <w:pStyle w:val="ListParagraph"/>
        <w:numPr>
          <w:ilvl w:val="0"/>
          <w:numId w:val="28"/>
        </w:numPr>
        <w:ind w:hanging="720"/>
      </w:pPr>
      <w:r>
        <w:t xml:space="preserve">The </w:t>
      </w:r>
      <w:r w:rsidR="26D8949D">
        <w:t xml:space="preserve">council holds £218 million of external </w:t>
      </w:r>
      <w:r>
        <w:t xml:space="preserve">debt </w:t>
      </w:r>
      <w:r w:rsidR="26D8949D">
        <w:t>largely</w:t>
      </w:r>
      <w:r>
        <w:t xml:space="preserve"> in respect of HRA self-financing taken out in April 2012</w:t>
      </w:r>
      <w:r w:rsidR="7685B1FE">
        <w:t>.</w:t>
      </w:r>
      <w:r>
        <w:t xml:space="preserve"> The Council capital programme is heavily financed by borrowing although the Council currently uses internal funds, as </w:t>
      </w:r>
      <w:r w:rsidR="00962190">
        <w:t xml:space="preserve">these are </w:t>
      </w:r>
      <w:r>
        <w:t>the cheapest form of borrowing</w:t>
      </w:r>
      <w:r w:rsidR="002F1211">
        <w:t>. A</w:t>
      </w:r>
      <w:r>
        <w:t xml:space="preserve">s the Capital Financing Requirement </w:t>
      </w:r>
      <w:r w:rsidR="15650F67">
        <w:t xml:space="preserve">(the underlying need to borrow to fund the capital programme) </w:t>
      </w:r>
      <w:r>
        <w:t xml:space="preserve">increases so will the need to undertake external borrowing. </w:t>
      </w:r>
    </w:p>
    <w:p w14:paraId="43AD05EA" w14:textId="77777777" w:rsidR="007C79C3" w:rsidRPr="00B96FC0" w:rsidRDefault="007C79C3" w:rsidP="007C79C3">
      <w:pPr>
        <w:pStyle w:val="ListParagraph"/>
        <w:rPr>
          <w:highlight w:val="yellow"/>
        </w:rPr>
      </w:pPr>
    </w:p>
    <w:p w14:paraId="52D0A071" w14:textId="22129235" w:rsidR="00134321" w:rsidRPr="00B96FC0" w:rsidRDefault="00AA5C0D" w:rsidP="5BF55D41">
      <w:pPr>
        <w:pStyle w:val="Default"/>
        <w:rPr>
          <w:b/>
        </w:rPr>
      </w:pPr>
      <w:r w:rsidRPr="6E37FCBD">
        <w:rPr>
          <w:b/>
          <w:bCs/>
        </w:rPr>
        <w:t xml:space="preserve">Autumn </w:t>
      </w:r>
      <w:r w:rsidR="7C911961" w:rsidRPr="6E37FCBD">
        <w:rPr>
          <w:b/>
          <w:bCs/>
        </w:rPr>
        <w:t xml:space="preserve">Budget and Spending Review </w:t>
      </w:r>
      <w:r w:rsidR="00134321" w:rsidRPr="6E37FCBD">
        <w:rPr>
          <w:b/>
          <w:bCs/>
        </w:rPr>
        <w:t>202</w:t>
      </w:r>
      <w:r w:rsidR="3AE1912C" w:rsidRPr="6E37FCBD">
        <w:rPr>
          <w:b/>
          <w:bCs/>
        </w:rPr>
        <w:t>4</w:t>
      </w:r>
    </w:p>
    <w:p w14:paraId="28A7FC4C" w14:textId="77777777" w:rsidR="00134321" w:rsidRPr="00B96FC0" w:rsidRDefault="00134321" w:rsidP="00134321">
      <w:pPr>
        <w:pStyle w:val="Default"/>
        <w:rPr>
          <w:b/>
          <w:highlight w:val="yellow"/>
        </w:rPr>
      </w:pPr>
    </w:p>
    <w:p w14:paraId="7DDBA93F" w14:textId="429CCEE7" w:rsidR="00F66D85" w:rsidRPr="00B96FC0" w:rsidRDefault="004F6E7E" w:rsidP="009046B9">
      <w:pPr>
        <w:pStyle w:val="ListParagraph"/>
        <w:numPr>
          <w:ilvl w:val="0"/>
          <w:numId w:val="28"/>
        </w:numPr>
        <w:ind w:right="386" w:hanging="720"/>
      </w:pPr>
      <w:r>
        <w:t>The Chancellor</w:t>
      </w:r>
      <w:r w:rsidR="00962190">
        <w:t>’</w:t>
      </w:r>
      <w:r>
        <w:t xml:space="preserve">s Autumn Statement </w:t>
      </w:r>
      <w:r w:rsidR="00F61A8F">
        <w:t>was</w:t>
      </w:r>
      <w:r w:rsidR="00674BAF">
        <w:t xml:space="preserve"> </w:t>
      </w:r>
      <w:r w:rsidR="00B37377">
        <w:t>announced on</w:t>
      </w:r>
      <w:r>
        <w:t xml:space="preserve"> </w:t>
      </w:r>
      <w:r w:rsidR="7D29F091">
        <w:t>30</w:t>
      </w:r>
      <w:r w:rsidR="7D29F091" w:rsidRPr="6F9FB908">
        <w:rPr>
          <w:vertAlign w:val="superscript"/>
        </w:rPr>
        <w:t>th</w:t>
      </w:r>
      <w:r w:rsidR="7D29F091">
        <w:t xml:space="preserve"> October 2024</w:t>
      </w:r>
      <w:r w:rsidR="00F61A8F">
        <w:t xml:space="preserve">. </w:t>
      </w:r>
      <w:r w:rsidR="3937950B">
        <w:t xml:space="preserve">The announcement </w:t>
      </w:r>
      <w:r w:rsidR="294CF2B5">
        <w:t>set</w:t>
      </w:r>
      <w:r w:rsidR="3937950B">
        <w:t xml:space="preserve"> out the </w:t>
      </w:r>
      <w:r w:rsidR="599B1BD1">
        <w:t>medium-term</w:t>
      </w:r>
      <w:r w:rsidR="3937950B">
        <w:t xml:space="preserve"> path for public finances, </w:t>
      </w:r>
      <w:r w:rsidR="62356A73">
        <w:t xml:space="preserve">accompanied by a </w:t>
      </w:r>
      <w:r w:rsidR="0795005B">
        <w:t>one-year</w:t>
      </w:r>
      <w:r w:rsidR="62356A73">
        <w:t xml:space="preserve"> Spending Review covering settlements for 2025-26. </w:t>
      </w:r>
      <w:r w:rsidR="00F61A8F">
        <w:t>Th</w:t>
      </w:r>
      <w:r w:rsidR="00764948">
        <w:t>is statement is usually followed by a Policy Statement</w:t>
      </w:r>
      <w:r w:rsidR="0AB73C5E">
        <w:t xml:space="preserve"> thought to be published in late November</w:t>
      </w:r>
      <w:r w:rsidR="00764948">
        <w:t>, with the Provisional</w:t>
      </w:r>
      <w:r w:rsidR="00F61A8F">
        <w:t xml:space="preserve"> </w:t>
      </w:r>
      <w:r w:rsidR="00674BAF">
        <w:t xml:space="preserve">Finance Settlement </w:t>
      </w:r>
      <w:r w:rsidR="3B48F44F">
        <w:t xml:space="preserve">to be </w:t>
      </w:r>
      <w:r w:rsidR="00F61A8F">
        <w:t xml:space="preserve">announced </w:t>
      </w:r>
      <w:r w:rsidR="1331DAEA">
        <w:t>on 19</w:t>
      </w:r>
      <w:r w:rsidR="1331DAEA" w:rsidRPr="6F9FB908">
        <w:rPr>
          <w:vertAlign w:val="superscript"/>
        </w:rPr>
        <w:t>th</w:t>
      </w:r>
      <w:r w:rsidR="1331DAEA">
        <w:t xml:space="preserve"> </w:t>
      </w:r>
      <w:r w:rsidR="007D0000">
        <w:t>December 2024</w:t>
      </w:r>
      <w:r w:rsidR="00674BAF">
        <w:t xml:space="preserve">.  </w:t>
      </w:r>
    </w:p>
    <w:p w14:paraId="17EAD6AB" w14:textId="2F25D7A5" w:rsidR="6E37FCBD" w:rsidRDefault="6E37FCBD" w:rsidP="6E37FCBD">
      <w:pPr>
        <w:pStyle w:val="ListParagraph"/>
        <w:ind w:right="386" w:hanging="720"/>
      </w:pPr>
    </w:p>
    <w:p w14:paraId="70A05627" w14:textId="50E40475" w:rsidR="50E91584" w:rsidRDefault="50E91584" w:rsidP="6E37FCBD">
      <w:pPr>
        <w:pStyle w:val="Heading1"/>
        <w:ind w:firstLine="720"/>
      </w:pPr>
      <w:r>
        <w:t xml:space="preserve">Core Spending Power </w:t>
      </w:r>
      <w:r w:rsidR="5306100C">
        <w:t>(CSP)</w:t>
      </w:r>
    </w:p>
    <w:p w14:paraId="6E8D5A52" w14:textId="6A86089A" w:rsidR="50E91584" w:rsidRDefault="50E91584" w:rsidP="009046B9">
      <w:pPr>
        <w:pStyle w:val="ListParagraph"/>
        <w:numPr>
          <w:ilvl w:val="0"/>
          <w:numId w:val="28"/>
        </w:numPr>
        <w:ind w:hanging="720"/>
      </w:pPr>
      <w:r>
        <w:t xml:space="preserve">Core spending power is a term used </w:t>
      </w:r>
      <w:r w:rsidR="767E1DA8">
        <w:t>to measure the core revenue funding available for local authority services through the local government finance settlement.</w:t>
      </w:r>
      <w:r w:rsidR="00565092">
        <w:t xml:space="preserve"> </w:t>
      </w:r>
      <w:r w:rsidR="767E1DA8">
        <w:t>It</w:t>
      </w:r>
      <w:r w:rsidR="00565092">
        <w:t xml:space="preserve"> </w:t>
      </w:r>
      <w:r w:rsidR="767E1DA8">
        <w:t>consists of revenue grant fund</w:t>
      </w:r>
      <w:r w:rsidR="5BA8A314">
        <w:t xml:space="preserve">ing </w:t>
      </w:r>
      <w:r w:rsidR="77484C57">
        <w:t>m</w:t>
      </w:r>
      <w:r w:rsidR="5BA8A314">
        <w:t xml:space="preserve">ade available through </w:t>
      </w:r>
      <w:r w:rsidR="53F978BF">
        <w:t>the settlement, locally</w:t>
      </w:r>
      <w:r w:rsidR="00565092">
        <w:t xml:space="preserve"> </w:t>
      </w:r>
      <w:r w:rsidR="53F978BF">
        <w:t xml:space="preserve">retained business rates and council tax income. </w:t>
      </w:r>
      <w:r w:rsidR="767E1DA8">
        <w:t xml:space="preserve"> </w:t>
      </w:r>
      <w:r>
        <w:t xml:space="preserve"> </w:t>
      </w:r>
    </w:p>
    <w:p w14:paraId="50513B68" w14:textId="2DF8B7C4" w:rsidR="6E37FCBD" w:rsidRDefault="6E37FCBD" w:rsidP="6E37FCBD">
      <w:pPr>
        <w:pStyle w:val="Heading1"/>
        <w:ind w:firstLine="720"/>
      </w:pPr>
    </w:p>
    <w:p w14:paraId="4AE346A9" w14:textId="35FA2339" w:rsidR="784C3397" w:rsidRDefault="784C3397" w:rsidP="009046B9">
      <w:pPr>
        <w:pStyle w:val="ListParagraph"/>
        <w:numPr>
          <w:ilvl w:val="0"/>
          <w:numId w:val="28"/>
        </w:numPr>
        <w:ind w:hanging="720"/>
      </w:pPr>
      <w:r>
        <w:t xml:space="preserve">There will be </w:t>
      </w:r>
      <w:r w:rsidR="007D0000">
        <w:t>real terms</w:t>
      </w:r>
      <w:r>
        <w:t xml:space="preserve"> increase of </w:t>
      </w:r>
      <w:r w:rsidR="27D2F921">
        <w:t xml:space="preserve">core </w:t>
      </w:r>
      <w:r>
        <w:t xml:space="preserve">spending power of around 3.2% in 2025- including at least £1.3 bn of new grant funding of which at least £600m </w:t>
      </w:r>
      <w:r w:rsidR="7D2160AC">
        <w:t>will</w:t>
      </w:r>
      <w:r>
        <w:t xml:space="preserve"> be new gr</w:t>
      </w:r>
      <w:r w:rsidR="49A3E54C">
        <w:t xml:space="preserve">ant funding for social care. </w:t>
      </w:r>
      <w:r w:rsidR="22E94B09">
        <w:t xml:space="preserve">Last </w:t>
      </w:r>
      <w:r w:rsidR="007D0000">
        <w:t>year’s</w:t>
      </w:r>
      <w:r w:rsidR="22E94B09">
        <w:t xml:space="preserve"> </w:t>
      </w:r>
      <w:r w:rsidR="55256DA7">
        <w:t>increase was 6.5%.</w:t>
      </w:r>
    </w:p>
    <w:p w14:paraId="33D75A7F" w14:textId="093D67DC" w:rsidR="5BF55D41" w:rsidRDefault="5BF55D41" w:rsidP="6E37FCBD"/>
    <w:p w14:paraId="18BEFEE3" w14:textId="7457AAE6" w:rsidR="00947B28" w:rsidRPr="00B96FC0" w:rsidRDefault="00947B28" w:rsidP="5BF55D41">
      <w:pPr>
        <w:pStyle w:val="Heading1"/>
        <w:ind w:firstLine="720"/>
      </w:pPr>
      <w:r>
        <w:t>Council Tax</w:t>
      </w:r>
    </w:p>
    <w:p w14:paraId="01CE3B8B" w14:textId="36DA8CD1" w:rsidR="00947B28" w:rsidRPr="00B96FC0" w:rsidRDefault="0178436C" w:rsidP="009046B9">
      <w:pPr>
        <w:pStyle w:val="Heading1"/>
        <w:numPr>
          <w:ilvl w:val="0"/>
          <w:numId w:val="39"/>
        </w:numPr>
        <w:ind w:hanging="720"/>
        <w:rPr>
          <w:b w:val="0"/>
          <w:bCs w:val="0"/>
        </w:rPr>
      </w:pPr>
      <w:r>
        <w:rPr>
          <w:b w:val="0"/>
          <w:bCs w:val="0"/>
        </w:rPr>
        <w:t xml:space="preserve">No </w:t>
      </w:r>
      <w:r w:rsidR="00565092">
        <w:rPr>
          <w:b w:val="0"/>
          <w:bCs w:val="0"/>
        </w:rPr>
        <w:t xml:space="preserve">formal announcements </w:t>
      </w:r>
      <w:r>
        <w:rPr>
          <w:b w:val="0"/>
          <w:bCs w:val="0"/>
        </w:rPr>
        <w:t>ha</w:t>
      </w:r>
      <w:r w:rsidR="00565092">
        <w:rPr>
          <w:b w:val="0"/>
          <w:bCs w:val="0"/>
        </w:rPr>
        <w:t>ve</w:t>
      </w:r>
      <w:r>
        <w:rPr>
          <w:b w:val="0"/>
          <w:bCs w:val="0"/>
        </w:rPr>
        <w:t xml:space="preserve"> been </w:t>
      </w:r>
      <w:r w:rsidR="00565092">
        <w:rPr>
          <w:b w:val="0"/>
          <w:bCs w:val="0"/>
        </w:rPr>
        <w:t xml:space="preserve">made by the Government </w:t>
      </w:r>
      <w:r>
        <w:rPr>
          <w:b w:val="0"/>
          <w:bCs w:val="0"/>
        </w:rPr>
        <w:t>on</w:t>
      </w:r>
      <w:r w:rsidR="00B37377">
        <w:rPr>
          <w:b w:val="0"/>
          <w:bCs w:val="0"/>
        </w:rPr>
        <w:t xml:space="preserve"> the </w:t>
      </w:r>
      <w:r>
        <w:rPr>
          <w:b w:val="0"/>
          <w:bCs w:val="0"/>
        </w:rPr>
        <w:t xml:space="preserve">council tax </w:t>
      </w:r>
      <w:r w:rsidR="00B37377">
        <w:rPr>
          <w:b w:val="0"/>
          <w:bCs w:val="0"/>
        </w:rPr>
        <w:t xml:space="preserve">referendum </w:t>
      </w:r>
      <w:r>
        <w:rPr>
          <w:b w:val="0"/>
          <w:bCs w:val="0"/>
        </w:rPr>
        <w:t>levels</w:t>
      </w:r>
      <w:r w:rsidR="00B37377">
        <w:rPr>
          <w:b w:val="0"/>
          <w:bCs w:val="0"/>
        </w:rPr>
        <w:t xml:space="preserve"> for </w:t>
      </w:r>
      <w:r>
        <w:rPr>
          <w:b w:val="0"/>
          <w:bCs w:val="0"/>
        </w:rPr>
        <w:t>2025-26</w:t>
      </w:r>
      <w:r w:rsidR="00565092">
        <w:rPr>
          <w:b w:val="0"/>
          <w:bCs w:val="0"/>
        </w:rPr>
        <w:t>.</w:t>
      </w:r>
      <w:r w:rsidR="5F34F107">
        <w:rPr>
          <w:b w:val="0"/>
          <w:bCs w:val="0"/>
        </w:rPr>
        <w:t xml:space="preserve"> </w:t>
      </w:r>
      <w:r w:rsidR="5F7CD259">
        <w:rPr>
          <w:b w:val="0"/>
          <w:bCs w:val="0"/>
        </w:rPr>
        <w:t>Of late, there has been talk of allowing maximum council tax increases of up to 5%. It is assumed that this is referen</w:t>
      </w:r>
      <w:r w:rsidR="55D08986">
        <w:rPr>
          <w:b w:val="0"/>
          <w:bCs w:val="0"/>
        </w:rPr>
        <w:t xml:space="preserve">ce to the social care precept which currently provides for County Councils and Unitary authorities to increase their council </w:t>
      </w:r>
      <w:r w:rsidR="74933AF9">
        <w:rPr>
          <w:b w:val="0"/>
          <w:bCs w:val="0"/>
        </w:rPr>
        <w:t xml:space="preserve">tax </w:t>
      </w:r>
      <w:r w:rsidR="55D08986">
        <w:rPr>
          <w:b w:val="0"/>
          <w:bCs w:val="0"/>
        </w:rPr>
        <w:t>b</w:t>
      </w:r>
      <w:r w:rsidR="2D4AA0AC">
        <w:rPr>
          <w:b w:val="0"/>
          <w:bCs w:val="0"/>
        </w:rPr>
        <w:t>y up to 5%</w:t>
      </w:r>
      <w:r w:rsidR="2FD6E2A2">
        <w:rPr>
          <w:b w:val="0"/>
          <w:bCs w:val="0"/>
        </w:rPr>
        <w:t>,</w:t>
      </w:r>
      <w:r w:rsidR="007D0000">
        <w:rPr>
          <w:b w:val="0"/>
          <w:bCs w:val="0"/>
        </w:rPr>
        <w:t xml:space="preserve"> </w:t>
      </w:r>
      <w:r w:rsidR="2D4AA0AC">
        <w:rPr>
          <w:b w:val="0"/>
          <w:bCs w:val="0"/>
        </w:rPr>
        <w:t xml:space="preserve">without the need for a referendum. If this is the </w:t>
      </w:r>
      <w:r w:rsidR="007D0000">
        <w:rPr>
          <w:b w:val="0"/>
          <w:bCs w:val="0"/>
        </w:rPr>
        <w:t>case,</w:t>
      </w:r>
      <w:r w:rsidR="2D4AA0AC">
        <w:rPr>
          <w:b w:val="0"/>
          <w:bCs w:val="0"/>
        </w:rPr>
        <w:t xml:space="preserve"> then it likely that districts will be able to increase their council by </w:t>
      </w:r>
      <w:r w:rsidR="00565092">
        <w:rPr>
          <w:b w:val="0"/>
          <w:bCs w:val="0"/>
        </w:rPr>
        <w:t xml:space="preserve">the higher of £5 or </w:t>
      </w:r>
      <w:r w:rsidR="2D4AA0AC">
        <w:rPr>
          <w:b w:val="0"/>
          <w:bCs w:val="0"/>
        </w:rPr>
        <w:t>2.99%</w:t>
      </w:r>
      <w:r w:rsidR="00565092">
        <w:rPr>
          <w:b w:val="0"/>
          <w:bCs w:val="0"/>
        </w:rPr>
        <w:t>, which has been assumed in this report</w:t>
      </w:r>
      <w:r w:rsidR="1454A7BA">
        <w:rPr>
          <w:b w:val="0"/>
          <w:bCs w:val="0"/>
        </w:rPr>
        <w:t xml:space="preserve">. </w:t>
      </w:r>
    </w:p>
    <w:p w14:paraId="4FBD961E" w14:textId="77777777" w:rsidR="00446063" w:rsidRPr="00B96FC0" w:rsidRDefault="00446063" w:rsidP="00446063">
      <w:pPr>
        <w:pStyle w:val="Default"/>
        <w:ind w:left="1701"/>
        <w:rPr>
          <w:sz w:val="22"/>
          <w:szCs w:val="22"/>
        </w:rPr>
      </w:pPr>
    </w:p>
    <w:p w14:paraId="13D8F8B7" w14:textId="350D0D02" w:rsidR="24E8B98A" w:rsidRDefault="24E8B98A" w:rsidP="1EDB5DC6">
      <w:pPr>
        <w:pStyle w:val="Default"/>
        <w:ind w:left="720"/>
        <w:rPr>
          <w:b/>
          <w:bCs/>
        </w:rPr>
      </w:pPr>
      <w:r w:rsidRPr="6E37FCBD">
        <w:rPr>
          <w:b/>
          <w:bCs/>
        </w:rPr>
        <w:t xml:space="preserve">Other Grants </w:t>
      </w:r>
    </w:p>
    <w:p w14:paraId="4AC6ABC5" w14:textId="63001266" w:rsidR="24E8B98A" w:rsidRDefault="3E1F2A91" w:rsidP="009046B9">
      <w:pPr>
        <w:pStyle w:val="Default"/>
        <w:numPr>
          <w:ilvl w:val="0"/>
          <w:numId w:val="39"/>
        </w:numPr>
        <w:ind w:hanging="720"/>
      </w:pPr>
      <w:r>
        <w:t xml:space="preserve">Other grants included in the announcement </w:t>
      </w:r>
      <w:r w:rsidR="0BEEFCEC">
        <w:t xml:space="preserve">relevant to the </w:t>
      </w:r>
      <w:r>
        <w:t>council</w:t>
      </w:r>
      <w:r w:rsidR="7CD1E4E7">
        <w:t xml:space="preserve">, but which we do not yet know the local impact of </w:t>
      </w:r>
      <w:r w:rsidR="0BEEFCEC">
        <w:t>include:</w:t>
      </w:r>
    </w:p>
    <w:p w14:paraId="21F56ADF" w14:textId="31D77644" w:rsidR="1EDB5DC6" w:rsidRDefault="1EDB5DC6" w:rsidP="1EDB5DC6">
      <w:pPr>
        <w:pStyle w:val="Default"/>
        <w:ind w:left="720"/>
      </w:pPr>
    </w:p>
    <w:p w14:paraId="1209ACF4" w14:textId="1B64D45B" w:rsidR="5B3F6427" w:rsidRDefault="5B3F6427" w:rsidP="009046B9">
      <w:pPr>
        <w:pStyle w:val="Default"/>
        <w:numPr>
          <w:ilvl w:val="0"/>
          <w:numId w:val="30"/>
        </w:numPr>
      </w:pPr>
      <w:r w:rsidRPr="6E37FCBD">
        <w:rPr>
          <w:b/>
          <w:bCs/>
        </w:rPr>
        <w:t xml:space="preserve">Extended Producer </w:t>
      </w:r>
      <w:r w:rsidR="6741A82A" w:rsidRPr="6E37FCBD">
        <w:rPr>
          <w:b/>
          <w:bCs/>
        </w:rPr>
        <w:t>Responsibility</w:t>
      </w:r>
      <w:r w:rsidRPr="6E37FCBD">
        <w:rPr>
          <w:b/>
          <w:bCs/>
        </w:rPr>
        <w:t xml:space="preserve"> Scheme </w:t>
      </w:r>
      <w:r w:rsidR="0F14178C" w:rsidRPr="6E37FCBD">
        <w:rPr>
          <w:b/>
          <w:bCs/>
        </w:rPr>
        <w:t xml:space="preserve">(EPR) </w:t>
      </w:r>
      <w:r>
        <w:t xml:space="preserve">local </w:t>
      </w:r>
      <w:r w:rsidR="065643A3">
        <w:t>authorities</w:t>
      </w:r>
      <w:r>
        <w:t xml:space="preserve"> are </w:t>
      </w:r>
      <w:r w:rsidR="7EA4C8DE">
        <w:t>expected</w:t>
      </w:r>
      <w:r>
        <w:t xml:space="preserve"> to </w:t>
      </w:r>
      <w:r w:rsidR="61B9E55D">
        <w:t>receive</w:t>
      </w:r>
      <w:r>
        <w:t xml:space="preserve"> around £1.1 bn of new funding in</w:t>
      </w:r>
      <w:r w:rsidR="52AE5614">
        <w:t xml:space="preserve"> 2025-26 through the </w:t>
      </w:r>
      <w:r w:rsidR="3C437AD3">
        <w:t>implement</w:t>
      </w:r>
      <w:r w:rsidR="226C31AE">
        <w:t>ation</w:t>
      </w:r>
      <w:r w:rsidR="52AE5614">
        <w:t xml:space="preserve"> of the EPR</w:t>
      </w:r>
      <w:r w:rsidR="6D2604E2">
        <w:t xml:space="preserve"> </w:t>
      </w:r>
      <w:r>
        <w:t>to improve recycling ou</w:t>
      </w:r>
      <w:r w:rsidR="20645C4A">
        <w:t>t</w:t>
      </w:r>
      <w:r>
        <w:t xml:space="preserve">comes from </w:t>
      </w:r>
      <w:r w:rsidR="660A7D1F">
        <w:t xml:space="preserve">January 2025. </w:t>
      </w:r>
    </w:p>
    <w:p w14:paraId="1CC5D32F" w14:textId="73812BAC" w:rsidR="18759876" w:rsidRDefault="6B3C09DD" w:rsidP="009046B9">
      <w:pPr>
        <w:pStyle w:val="Default"/>
        <w:numPr>
          <w:ilvl w:val="0"/>
          <w:numId w:val="30"/>
        </w:numPr>
      </w:pPr>
      <w:r w:rsidRPr="60EA432F">
        <w:rPr>
          <w:b/>
          <w:bCs/>
        </w:rPr>
        <w:t xml:space="preserve">Shared Prosperity Fund </w:t>
      </w:r>
      <w:r>
        <w:t xml:space="preserve">– </w:t>
      </w:r>
      <w:r w:rsidR="3F176D4D">
        <w:t>this</w:t>
      </w:r>
      <w:r>
        <w:t xml:space="preserve"> grant will continue for a </w:t>
      </w:r>
      <w:r w:rsidR="701EFEDD">
        <w:t>further</w:t>
      </w:r>
      <w:r>
        <w:t xml:space="preserve"> year and be worth £900m. </w:t>
      </w:r>
      <w:r w:rsidR="4CC1CE7E">
        <w:t>The Council has in the past benefitted from £</w:t>
      </w:r>
      <w:r w:rsidR="24F579DF">
        <w:t xml:space="preserve">1 </w:t>
      </w:r>
      <w:r w:rsidR="7E888DF3">
        <w:t>m</w:t>
      </w:r>
      <w:r w:rsidR="56C7D7F4">
        <w:t>illion grant in previous years.</w:t>
      </w:r>
      <w:r w:rsidR="4CC1CE7E">
        <w:t xml:space="preserve"> </w:t>
      </w:r>
    </w:p>
    <w:p w14:paraId="5AF08C7D" w14:textId="61E66453" w:rsidR="18759876" w:rsidRDefault="6B3C09DD" w:rsidP="009046B9">
      <w:pPr>
        <w:pStyle w:val="Default"/>
        <w:numPr>
          <w:ilvl w:val="0"/>
          <w:numId w:val="30"/>
        </w:numPr>
      </w:pPr>
      <w:r w:rsidRPr="60EA432F">
        <w:rPr>
          <w:b/>
          <w:bCs/>
        </w:rPr>
        <w:t xml:space="preserve">Homelessness Prevention Grant </w:t>
      </w:r>
      <w:r>
        <w:t>– Whilst not confirm</w:t>
      </w:r>
      <w:r w:rsidR="1D005359">
        <w:t>ed</w:t>
      </w:r>
      <w:r>
        <w:t xml:space="preserve"> it is expected that the HPG </w:t>
      </w:r>
      <w:r w:rsidR="21987985">
        <w:t xml:space="preserve">currently worth around £1.109 million to the authority, </w:t>
      </w:r>
      <w:r w:rsidR="2D847678">
        <w:t>will</w:t>
      </w:r>
      <w:r>
        <w:t xml:space="preserve"> </w:t>
      </w:r>
      <w:r w:rsidR="7607BC14">
        <w:t>continue</w:t>
      </w:r>
      <w:r>
        <w:t xml:space="preserve"> for another year sinc</w:t>
      </w:r>
      <w:r w:rsidR="77D7B7DF">
        <w:t xml:space="preserve">e the government confirmed an additional £233 </w:t>
      </w:r>
      <w:r w:rsidR="055C3CEB">
        <w:t>million</w:t>
      </w:r>
      <w:r w:rsidR="7688A7E7">
        <w:t xml:space="preserve"> for local authorities </w:t>
      </w:r>
      <w:r w:rsidR="77D7B7DF">
        <w:t>in 2025-26 to prevent homelessness</w:t>
      </w:r>
      <w:r w:rsidR="7A3BDAFF">
        <w:t xml:space="preserve"> in their Autumn Budget. </w:t>
      </w:r>
      <w:r w:rsidR="47D962C9">
        <w:t xml:space="preserve"> </w:t>
      </w:r>
    </w:p>
    <w:p w14:paraId="5D15F92A" w14:textId="51225DF6" w:rsidR="217E08D8" w:rsidRDefault="217E08D8" w:rsidP="009046B9">
      <w:pPr>
        <w:pStyle w:val="Default"/>
        <w:numPr>
          <w:ilvl w:val="0"/>
          <w:numId w:val="30"/>
        </w:numPr>
      </w:pPr>
      <w:r w:rsidRPr="6E37FCBD">
        <w:rPr>
          <w:b/>
          <w:bCs/>
        </w:rPr>
        <w:lastRenderedPageBreak/>
        <w:t>Disabled</w:t>
      </w:r>
      <w:r w:rsidR="662B550C" w:rsidRPr="6E37FCBD">
        <w:rPr>
          <w:b/>
          <w:bCs/>
        </w:rPr>
        <w:t xml:space="preserve"> </w:t>
      </w:r>
      <w:r w:rsidR="0FFD6EB4" w:rsidRPr="6E37FCBD">
        <w:rPr>
          <w:b/>
          <w:bCs/>
        </w:rPr>
        <w:t>Facilities</w:t>
      </w:r>
      <w:r w:rsidR="662B550C" w:rsidRPr="6E37FCBD">
        <w:rPr>
          <w:b/>
          <w:bCs/>
        </w:rPr>
        <w:t xml:space="preserve"> Grant </w:t>
      </w:r>
      <w:r w:rsidR="662B550C">
        <w:t>– There will be an additional £86m in 2025-26</w:t>
      </w:r>
      <w:r w:rsidR="71E10126">
        <w:t xml:space="preserve">. The Council currently </w:t>
      </w:r>
      <w:r w:rsidR="7AF80CB3">
        <w:t>receives</w:t>
      </w:r>
      <w:r w:rsidR="71E10126">
        <w:t xml:space="preserve"> an annual amount of around £</w:t>
      </w:r>
      <w:r w:rsidR="37F500CF">
        <w:t>1.4 million p</w:t>
      </w:r>
      <w:r w:rsidR="71E10126">
        <w:t>er annum.</w:t>
      </w:r>
    </w:p>
    <w:p w14:paraId="41EC9FEE" w14:textId="5A496AC4" w:rsidR="1BEB1508" w:rsidRDefault="1BEB1508" w:rsidP="009046B9">
      <w:pPr>
        <w:pStyle w:val="Default"/>
        <w:numPr>
          <w:ilvl w:val="0"/>
          <w:numId w:val="30"/>
        </w:numPr>
      </w:pPr>
      <w:r w:rsidRPr="6E37FCBD">
        <w:rPr>
          <w:b/>
          <w:bCs/>
        </w:rPr>
        <w:t xml:space="preserve">Support for bus operators – </w:t>
      </w:r>
      <w:r>
        <w:t xml:space="preserve">The bus fare cap will be extended </w:t>
      </w:r>
      <w:r w:rsidR="3D3221F8">
        <w:t>until</w:t>
      </w:r>
      <w:r>
        <w:t xml:space="preserve"> December 2025 at a higher rate of £3</w:t>
      </w:r>
      <w:r w:rsidR="45B5EEFD">
        <w:t>, increased from £2 in the current year.</w:t>
      </w:r>
    </w:p>
    <w:p w14:paraId="73C325A7" w14:textId="225EB45E" w:rsidR="1BEB1508" w:rsidRDefault="1BEB1508" w:rsidP="009046B9">
      <w:pPr>
        <w:pStyle w:val="Default"/>
        <w:numPr>
          <w:ilvl w:val="0"/>
          <w:numId w:val="30"/>
        </w:numPr>
      </w:pPr>
      <w:r w:rsidRPr="6E37FCBD">
        <w:rPr>
          <w:b/>
          <w:bCs/>
        </w:rPr>
        <w:t xml:space="preserve">Cycling </w:t>
      </w:r>
      <w:r>
        <w:t xml:space="preserve">– An </w:t>
      </w:r>
      <w:r w:rsidR="172443B0">
        <w:t>additional</w:t>
      </w:r>
      <w:r>
        <w:t xml:space="preserve"> £100m investment in cycling and walking </w:t>
      </w:r>
      <w:proofErr w:type="gramStart"/>
      <w:r>
        <w:t>infrastructure</w:t>
      </w:r>
      <w:proofErr w:type="gramEnd"/>
    </w:p>
    <w:p w14:paraId="11C4E053" w14:textId="161F3549" w:rsidR="1BEB1508" w:rsidRDefault="1BEB1508" w:rsidP="009046B9">
      <w:pPr>
        <w:pStyle w:val="Default"/>
        <w:numPr>
          <w:ilvl w:val="0"/>
          <w:numId w:val="30"/>
        </w:numPr>
      </w:pPr>
      <w:r w:rsidRPr="6E37FCBD">
        <w:rPr>
          <w:b/>
          <w:bCs/>
        </w:rPr>
        <w:t xml:space="preserve">Electric vehicle </w:t>
      </w:r>
      <w:r w:rsidR="35D56CFE" w:rsidRPr="6E37FCBD">
        <w:rPr>
          <w:b/>
          <w:bCs/>
        </w:rPr>
        <w:t>charging</w:t>
      </w:r>
      <w:r w:rsidRPr="6E37FCBD">
        <w:rPr>
          <w:b/>
          <w:bCs/>
        </w:rPr>
        <w:t xml:space="preserve"> </w:t>
      </w:r>
      <w:r>
        <w:t xml:space="preserve">– Over £200m in 2025-26 to accelerate the rollout of electric </w:t>
      </w:r>
      <w:proofErr w:type="gramStart"/>
      <w:r>
        <w:t>vehicles</w:t>
      </w:r>
      <w:proofErr w:type="gramEnd"/>
    </w:p>
    <w:p w14:paraId="425B05A0" w14:textId="4F578D9E" w:rsidR="6E37FCBD" w:rsidRDefault="6E37FCBD" w:rsidP="6E37FCBD">
      <w:pPr>
        <w:pStyle w:val="Default"/>
        <w:ind w:left="1080"/>
      </w:pPr>
    </w:p>
    <w:p w14:paraId="45DE16A5" w14:textId="19ED8FD4" w:rsidR="00947B28" w:rsidRPr="00B96FC0" w:rsidRDefault="00947B28" w:rsidP="00947B28">
      <w:pPr>
        <w:pStyle w:val="Default"/>
        <w:ind w:left="720"/>
      </w:pPr>
      <w:r w:rsidRPr="6E37FCBD">
        <w:rPr>
          <w:b/>
        </w:rPr>
        <w:t>Business Rates</w:t>
      </w:r>
      <w:r>
        <w:t xml:space="preserve"> – </w:t>
      </w:r>
    </w:p>
    <w:p w14:paraId="6E65509E" w14:textId="230EC1E1" w:rsidR="00947B28" w:rsidRPr="00B96FC0" w:rsidRDefault="00947B28" w:rsidP="009046B9">
      <w:pPr>
        <w:pStyle w:val="Default"/>
        <w:numPr>
          <w:ilvl w:val="0"/>
          <w:numId w:val="39"/>
        </w:numPr>
        <w:ind w:hanging="720"/>
      </w:pPr>
      <w:r>
        <w:t xml:space="preserve">It is </w:t>
      </w:r>
      <w:r w:rsidR="5AC0C4DD">
        <w:t xml:space="preserve">not </w:t>
      </w:r>
      <w:r>
        <w:t xml:space="preserve">stated </w:t>
      </w:r>
      <w:r w:rsidR="280A0863">
        <w:t xml:space="preserve">whether </w:t>
      </w:r>
      <w:r w:rsidR="002547EB">
        <w:t xml:space="preserve">local authorities will be fully compensated for the loss of income </w:t>
      </w:r>
      <w:proofErr w:type="gramStart"/>
      <w:r w:rsidR="002547EB">
        <w:t>as a result of</w:t>
      </w:r>
      <w:proofErr w:type="gramEnd"/>
      <w:r w:rsidR="002547EB">
        <w:t xml:space="preserve"> the new business rates measures detailed below </w:t>
      </w:r>
      <w:r w:rsidR="69359165">
        <w:t>although as</w:t>
      </w:r>
      <w:r w:rsidR="00565092">
        <w:t xml:space="preserve"> </w:t>
      </w:r>
      <w:r w:rsidR="69359165">
        <w:t xml:space="preserve">in previous years this has been done so. </w:t>
      </w:r>
    </w:p>
    <w:p w14:paraId="3FD29EE1" w14:textId="77777777" w:rsidR="00947B28" w:rsidRPr="00B96FC0" w:rsidRDefault="00947B28" w:rsidP="00947B28">
      <w:pPr>
        <w:pStyle w:val="Default"/>
      </w:pPr>
      <w:r>
        <w:t xml:space="preserve"> </w:t>
      </w:r>
    </w:p>
    <w:p w14:paraId="59CD1859" w14:textId="65DFAE16" w:rsidR="00947B28" w:rsidRPr="00B96FC0" w:rsidRDefault="00947B28" w:rsidP="009046B9">
      <w:pPr>
        <w:pStyle w:val="Default"/>
        <w:numPr>
          <w:ilvl w:val="1"/>
          <w:numId w:val="26"/>
        </w:numPr>
        <w:spacing w:after="137"/>
        <w:ind w:left="1701" w:hanging="360"/>
        <w:rPr>
          <w:color w:val="auto"/>
        </w:rPr>
      </w:pPr>
      <w:r w:rsidRPr="07CBB4C4">
        <w:rPr>
          <w:b/>
          <w:bCs/>
          <w:color w:val="auto"/>
        </w:rPr>
        <w:t>Multipliers</w:t>
      </w:r>
      <w:r w:rsidRPr="07CBB4C4">
        <w:rPr>
          <w:color w:val="auto"/>
        </w:rPr>
        <w:t xml:space="preserve">: </w:t>
      </w:r>
      <w:r w:rsidR="758AEE62" w:rsidRPr="07CBB4C4">
        <w:rPr>
          <w:color w:val="auto"/>
        </w:rPr>
        <w:t xml:space="preserve">freezing the small </w:t>
      </w:r>
      <w:r w:rsidR="6509BC61" w:rsidRPr="07CBB4C4">
        <w:rPr>
          <w:color w:val="auto"/>
        </w:rPr>
        <w:t>business</w:t>
      </w:r>
      <w:r w:rsidR="758AEE62" w:rsidRPr="07CBB4C4">
        <w:rPr>
          <w:color w:val="auto"/>
        </w:rPr>
        <w:t xml:space="preserve"> </w:t>
      </w:r>
      <w:r w:rsidR="3067EEFC" w:rsidRPr="07CBB4C4">
        <w:rPr>
          <w:color w:val="auto"/>
        </w:rPr>
        <w:t>multiplier</w:t>
      </w:r>
      <w:r w:rsidR="758AEE62" w:rsidRPr="07CBB4C4">
        <w:rPr>
          <w:color w:val="auto"/>
        </w:rPr>
        <w:t xml:space="preserve"> relief in 2025-26 and a </w:t>
      </w:r>
      <w:r w:rsidR="008009B9" w:rsidRPr="07CBB4C4">
        <w:rPr>
          <w:color w:val="auto"/>
        </w:rPr>
        <w:t>full</w:t>
      </w:r>
      <w:r w:rsidR="758AEE62" w:rsidRPr="07CBB4C4">
        <w:rPr>
          <w:color w:val="auto"/>
        </w:rPr>
        <w:t xml:space="preserve"> CPI </w:t>
      </w:r>
      <w:r w:rsidR="22ABE4A0" w:rsidRPr="07CBB4C4">
        <w:rPr>
          <w:color w:val="auto"/>
        </w:rPr>
        <w:t>increase</w:t>
      </w:r>
      <w:r w:rsidR="758AEE62" w:rsidRPr="07CBB4C4">
        <w:rPr>
          <w:color w:val="auto"/>
        </w:rPr>
        <w:t xml:space="preserve"> to the </w:t>
      </w:r>
      <w:r w:rsidR="0F7E7C75" w:rsidRPr="07CBB4C4">
        <w:rPr>
          <w:color w:val="auto"/>
        </w:rPr>
        <w:t>standard</w:t>
      </w:r>
      <w:r w:rsidR="758AEE62" w:rsidRPr="07CBB4C4">
        <w:rPr>
          <w:color w:val="auto"/>
        </w:rPr>
        <w:t xml:space="preserve"> multiplier.</w:t>
      </w:r>
      <w:r w:rsidR="0D918A09" w:rsidRPr="07CBB4C4">
        <w:rPr>
          <w:color w:val="auto"/>
        </w:rPr>
        <w:t xml:space="preserve"> </w:t>
      </w:r>
      <w:r w:rsidR="6E9C4EEE" w:rsidRPr="07CBB4C4">
        <w:rPr>
          <w:color w:val="auto"/>
        </w:rPr>
        <w:t xml:space="preserve">An </w:t>
      </w:r>
      <w:r w:rsidR="0DC7B86A" w:rsidRPr="07CBB4C4">
        <w:rPr>
          <w:color w:val="auto"/>
        </w:rPr>
        <w:t>intention</w:t>
      </w:r>
      <w:r w:rsidR="6E9C4EEE" w:rsidRPr="07CBB4C4">
        <w:rPr>
          <w:color w:val="auto"/>
        </w:rPr>
        <w:t xml:space="preserve"> to </w:t>
      </w:r>
      <w:r w:rsidR="1EBFF92B" w:rsidRPr="07CBB4C4">
        <w:rPr>
          <w:color w:val="auto"/>
        </w:rPr>
        <w:t>introduce</w:t>
      </w:r>
      <w:r w:rsidR="6E9C4EEE" w:rsidRPr="07CBB4C4">
        <w:rPr>
          <w:color w:val="auto"/>
        </w:rPr>
        <w:t xml:space="preserve"> </w:t>
      </w:r>
      <w:r w:rsidR="57B8AF4F" w:rsidRPr="07CBB4C4">
        <w:rPr>
          <w:color w:val="auto"/>
        </w:rPr>
        <w:t>permanently</w:t>
      </w:r>
      <w:r w:rsidR="6E9C4EEE" w:rsidRPr="07CBB4C4">
        <w:rPr>
          <w:color w:val="auto"/>
        </w:rPr>
        <w:t xml:space="preserve"> lower </w:t>
      </w:r>
      <w:r w:rsidR="0E222164" w:rsidRPr="07CBB4C4">
        <w:rPr>
          <w:color w:val="auto"/>
        </w:rPr>
        <w:t>multipliers</w:t>
      </w:r>
      <w:r w:rsidR="6E9C4EEE" w:rsidRPr="07CBB4C4">
        <w:rPr>
          <w:color w:val="auto"/>
        </w:rPr>
        <w:t xml:space="preserve"> for retail </w:t>
      </w:r>
      <w:r w:rsidR="6A35087A" w:rsidRPr="07CBB4C4">
        <w:rPr>
          <w:color w:val="auto"/>
        </w:rPr>
        <w:t>hospitality</w:t>
      </w:r>
      <w:r w:rsidR="6E9C4EEE" w:rsidRPr="07CBB4C4">
        <w:rPr>
          <w:color w:val="auto"/>
        </w:rPr>
        <w:t xml:space="preserve"> and </w:t>
      </w:r>
      <w:r w:rsidR="0E47F0E0" w:rsidRPr="07CBB4C4">
        <w:rPr>
          <w:color w:val="auto"/>
        </w:rPr>
        <w:t>leisure</w:t>
      </w:r>
      <w:r w:rsidR="6E9C4EEE" w:rsidRPr="07CBB4C4">
        <w:rPr>
          <w:color w:val="auto"/>
        </w:rPr>
        <w:t xml:space="preserve"> </w:t>
      </w:r>
      <w:r w:rsidR="3AEB2561" w:rsidRPr="07CBB4C4">
        <w:rPr>
          <w:color w:val="auto"/>
        </w:rPr>
        <w:t>properties</w:t>
      </w:r>
      <w:r w:rsidR="6E9C4EEE" w:rsidRPr="07CBB4C4">
        <w:rPr>
          <w:color w:val="auto"/>
        </w:rPr>
        <w:t xml:space="preserve"> with a </w:t>
      </w:r>
      <w:r w:rsidR="1B54A161" w:rsidRPr="07CBB4C4">
        <w:rPr>
          <w:color w:val="auto"/>
        </w:rPr>
        <w:t>ratable</w:t>
      </w:r>
      <w:r w:rsidR="6E9C4EEE" w:rsidRPr="07CBB4C4">
        <w:rPr>
          <w:color w:val="auto"/>
        </w:rPr>
        <w:t xml:space="preserve"> </w:t>
      </w:r>
      <w:r w:rsidR="4CABA1BB" w:rsidRPr="07CBB4C4">
        <w:rPr>
          <w:color w:val="auto"/>
        </w:rPr>
        <w:t>value</w:t>
      </w:r>
      <w:r w:rsidR="6E9C4EEE" w:rsidRPr="07CBB4C4">
        <w:rPr>
          <w:color w:val="auto"/>
        </w:rPr>
        <w:t xml:space="preserve"> under £500k funded by a new higher </w:t>
      </w:r>
      <w:r w:rsidR="72286766" w:rsidRPr="07CBB4C4">
        <w:rPr>
          <w:color w:val="auto"/>
        </w:rPr>
        <w:t>multiplier</w:t>
      </w:r>
      <w:r w:rsidR="6E9C4EEE" w:rsidRPr="07CBB4C4">
        <w:rPr>
          <w:color w:val="auto"/>
        </w:rPr>
        <w:t xml:space="preserve"> on all properties with a </w:t>
      </w:r>
      <w:r w:rsidR="7CAC8AE2" w:rsidRPr="07CBB4C4">
        <w:rPr>
          <w:color w:val="auto"/>
        </w:rPr>
        <w:t>ratable</w:t>
      </w:r>
      <w:r w:rsidR="6E9C4EEE" w:rsidRPr="07CBB4C4">
        <w:rPr>
          <w:color w:val="auto"/>
        </w:rPr>
        <w:t xml:space="preserve"> value of £500k and above. </w:t>
      </w:r>
      <w:r w:rsidR="00EA7EC5" w:rsidRPr="07CBB4C4">
        <w:rPr>
          <w:color w:val="auto"/>
        </w:rPr>
        <w:t xml:space="preserve"> </w:t>
      </w:r>
    </w:p>
    <w:p w14:paraId="0CA6655D" w14:textId="638472E2" w:rsidR="00947B28" w:rsidRPr="00B96FC0" w:rsidRDefault="00947B28" w:rsidP="009046B9">
      <w:pPr>
        <w:pStyle w:val="Default"/>
        <w:numPr>
          <w:ilvl w:val="1"/>
          <w:numId w:val="26"/>
        </w:numPr>
        <w:ind w:left="1701" w:hanging="360"/>
        <w:rPr>
          <w:color w:val="auto"/>
        </w:rPr>
      </w:pPr>
      <w:r w:rsidRPr="6E37FCBD">
        <w:rPr>
          <w:b/>
          <w:color w:val="auto"/>
        </w:rPr>
        <w:t>Retail, Hospitality and Leisure Relief</w:t>
      </w:r>
      <w:r w:rsidRPr="6E37FCBD">
        <w:rPr>
          <w:color w:val="auto"/>
        </w:rPr>
        <w:t xml:space="preserve">: </w:t>
      </w:r>
      <w:r w:rsidR="00EA7EC5" w:rsidRPr="6E37FCBD">
        <w:rPr>
          <w:color w:val="auto"/>
        </w:rPr>
        <w:t xml:space="preserve">relief for </w:t>
      </w:r>
      <w:r w:rsidRPr="6E37FCBD">
        <w:rPr>
          <w:color w:val="auto"/>
        </w:rPr>
        <w:t xml:space="preserve">eligible retail, hospitality, and leisure businesses extended and </w:t>
      </w:r>
      <w:r w:rsidR="13AFA969" w:rsidRPr="6E37FCBD">
        <w:rPr>
          <w:color w:val="auto"/>
        </w:rPr>
        <w:t>reduced</w:t>
      </w:r>
      <w:r w:rsidRPr="6E37FCBD">
        <w:rPr>
          <w:color w:val="auto"/>
        </w:rPr>
        <w:t xml:space="preserve"> from 75% to </w:t>
      </w:r>
      <w:r w:rsidR="60E2A2EB" w:rsidRPr="6E37FCBD">
        <w:rPr>
          <w:color w:val="auto"/>
        </w:rPr>
        <w:t>40</w:t>
      </w:r>
      <w:r w:rsidRPr="6E37FCBD">
        <w:rPr>
          <w:color w:val="auto"/>
        </w:rPr>
        <w:t xml:space="preserve">% business rates relief up to £110,000 per </w:t>
      </w:r>
      <w:proofErr w:type="gramStart"/>
      <w:r w:rsidRPr="6E37FCBD">
        <w:rPr>
          <w:color w:val="auto"/>
        </w:rPr>
        <w:t>business</w:t>
      </w:r>
      <w:proofErr w:type="gramEnd"/>
      <w:r w:rsidRPr="6E37FCBD">
        <w:rPr>
          <w:color w:val="auto"/>
        </w:rPr>
        <w:t xml:space="preserve"> </w:t>
      </w:r>
    </w:p>
    <w:p w14:paraId="191B7CF6" w14:textId="45510143" w:rsidR="00947B28" w:rsidRPr="00B96FC0" w:rsidRDefault="00947B28" w:rsidP="6E37FCBD">
      <w:pPr>
        <w:pStyle w:val="Default"/>
        <w:ind w:left="1701" w:hanging="360"/>
        <w:rPr>
          <w:color w:val="auto"/>
        </w:rPr>
      </w:pPr>
    </w:p>
    <w:p w14:paraId="676F134B" w14:textId="257A6A19" w:rsidR="002547EB" w:rsidRPr="00B96FC0" w:rsidRDefault="00EA7EC5" w:rsidP="009046B9">
      <w:pPr>
        <w:pStyle w:val="Default"/>
        <w:numPr>
          <w:ilvl w:val="1"/>
          <w:numId w:val="26"/>
        </w:numPr>
        <w:ind w:left="1701" w:hanging="360"/>
        <w:rPr>
          <w:b/>
          <w:bCs/>
        </w:rPr>
      </w:pPr>
      <w:r w:rsidRPr="6E37FCBD">
        <w:rPr>
          <w:b/>
          <w:bCs/>
          <w:color w:val="auto"/>
        </w:rPr>
        <w:t xml:space="preserve">Fairer Funding </w:t>
      </w:r>
      <w:r w:rsidRPr="6E37FCBD">
        <w:rPr>
          <w:color w:val="auto"/>
        </w:rPr>
        <w:t xml:space="preserve">– </w:t>
      </w:r>
      <w:r w:rsidR="191592FD" w:rsidRPr="6E37FCBD">
        <w:rPr>
          <w:color w:val="auto"/>
        </w:rPr>
        <w:t xml:space="preserve">Although </w:t>
      </w:r>
      <w:r w:rsidR="00DD577A">
        <w:rPr>
          <w:color w:val="auto"/>
        </w:rPr>
        <w:t xml:space="preserve">there was </w:t>
      </w:r>
      <w:r w:rsidR="191592FD" w:rsidRPr="6E37FCBD">
        <w:rPr>
          <w:color w:val="auto"/>
        </w:rPr>
        <w:t xml:space="preserve">no mention of </w:t>
      </w:r>
      <w:r w:rsidR="00DD577A">
        <w:rPr>
          <w:color w:val="auto"/>
        </w:rPr>
        <w:t>“</w:t>
      </w:r>
      <w:r w:rsidR="191592FD" w:rsidRPr="6E37FCBD">
        <w:rPr>
          <w:color w:val="auto"/>
        </w:rPr>
        <w:t>fairer funding</w:t>
      </w:r>
      <w:r w:rsidR="00DD577A">
        <w:rPr>
          <w:color w:val="auto"/>
        </w:rPr>
        <w:t>”</w:t>
      </w:r>
      <w:r w:rsidR="191592FD" w:rsidRPr="6E37FCBD">
        <w:rPr>
          <w:color w:val="auto"/>
        </w:rPr>
        <w:t xml:space="preserve"> </w:t>
      </w:r>
      <w:r w:rsidR="6903D018" w:rsidRPr="6E37FCBD">
        <w:rPr>
          <w:color w:val="auto"/>
        </w:rPr>
        <w:t>the</w:t>
      </w:r>
      <w:r w:rsidR="191592FD" w:rsidRPr="6E37FCBD">
        <w:rPr>
          <w:color w:val="auto"/>
        </w:rPr>
        <w:t xml:space="preserve"> </w:t>
      </w:r>
      <w:r w:rsidR="668555F8" w:rsidRPr="6E37FCBD">
        <w:rPr>
          <w:color w:val="auto"/>
        </w:rPr>
        <w:t>government</w:t>
      </w:r>
      <w:r w:rsidR="191592FD" w:rsidRPr="6E37FCBD">
        <w:rPr>
          <w:color w:val="auto"/>
        </w:rPr>
        <w:t xml:space="preserve"> </w:t>
      </w:r>
      <w:r w:rsidR="00DD577A">
        <w:rPr>
          <w:color w:val="auto"/>
        </w:rPr>
        <w:t>has</w:t>
      </w:r>
      <w:r w:rsidR="00DD577A" w:rsidRPr="6E37FCBD">
        <w:rPr>
          <w:color w:val="auto"/>
        </w:rPr>
        <w:t xml:space="preserve"> </w:t>
      </w:r>
      <w:r w:rsidR="2EDE6797" w:rsidRPr="6E37FCBD">
        <w:rPr>
          <w:color w:val="auto"/>
        </w:rPr>
        <w:t>confirmed</w:t>
      </w:r>
      <w:r w:rsidR="191592FD" w:rsidRPr="6E37FCBD">
        <w:rPr>
          <w:color w:val="auto"/>
        </w:rPr>
        <w:t xml:space="preserve"> that </w:t>
      </w:r>
      <w:r w:rsidR="00DD577A">
        <w:rPr>
          <w:color w:val="auto"/>
        </w:rPr>
        <w:t>a</w:t>
      </w:r>
      <w:r w:rsidR="00DD577A" w:rsidRPr="6E37FCBD">
        <w:rPr>
          <w:color w:val="auto"/>
        </w:rPr>
        <w:t xml:space="preserve"> </w:t>
      </w:r>
      <w:r w:rsidR="191592FD" w:rsidRPr="6E37FCBD">
        <w:rPr>
          <w:color w:val="auto"/>
        </w:rPr>
        <w:t>business rates revaluati</w:t>
      </w:r>
      <w:r w:rsidR="31DD8314" w:rsidRPr="6E37FCBD">
        <w:rPr>
          <w:color w:val="auto"/>
        </w:rPr>
        <w:t>on</w:t>
      </w:r>
      <w:r w:rsidR="191592FD" w:rsidRPr="6E37FCBD">
        <w:rPr>
          <w:color w:val="auto"/>
        </w:rPr>
        <w:t xml:space="preserve"> will go </w:t>
      </w:r>
      <w:r w:rsidR="2491291E" w:rsidRPr="6E37FCBD">
        <w:rPr>
          <w:color w:val="auto"/>
        </w:rPr>
        <w:t>ahead</w:t>
      </w:r>
      <w:r w:rsidR="191592FD" w:rsidRPr="6E37FCBD">
        <w:rPr>
          <w:color w:val="auto"/>
        </w:rPr>
        <w:t xml:space="preserve"> in 2026 and it is assumed that </w:t>
      </w:r>
      <w:r w:rsidR="00DD577A">
        <w:rPr>
          <w:color w:val="auto"/>
        </w:rPr>
        <w:t>“</w:t>
      </w:r>
      <w:r w:rsidR="0701888F" w:rsidRPr="6E37FCBD">
        <w:rPr>
          <w:color w:val="auto"/>
        </w:rPr>
        <w:t>fairer</w:t>
      </w:r>
      <w:r w:rsidR="191592FD" w:rsidRPr="6E37FCBD">
        <w:rPr>
          <w:color w:val="auto"/>
        </w:rPr>
        <w:t xml:space="preserve"> funding</w:t>
      </w:r>
      <w:r w:rsidR="00DD577A">
        <w:rPr>
          <w:color w:val="auto"/>
        </w:rPr>
        <w:t>”</w:t>
      </w:r>
      <w:r w:rsidR="191592FD" w:rsidRPr="6E37FCBD">
        <w:rPr>
          <w:color w:val="auto"/>
        </w:rPr>
        <w:t xml:space="preserve"> </w:t>
      </w:r>
      <w:proofErr w:type="spellStart"/>
      <w:r w:rsidR="00DD577A">
        <w:rPr>
          <w:color w:val="auto"/>
        </w:rPr>
        <w:t>wi</w:t>
      </w:r>
      <w:r w:rsidR="191592FD" w:rsidRPr="6E37FCBD">
        <w:rPr>
          <w:color w:val="auto"/>
        </w:rPr>
        <w:t>il</w:t>
      </w:r>
      <w:proofErr w:type="spellEnd"/>
      <w:r w:rsidR="191592FD" w:rsidRPr="6E37FCBD">
        <w:rPr>
          <w:color w:val="auto"/>
        </w:rPr>
        <w:t xml:space="preserve"> be introduced at the same time. </w:t>
      </w:r>
      <w:r w:rsidR="00DD577A">
        <w:rPr>
          <w:color w:val="auto"/>
        </w:rPr>
        <w:t>This is likely to have adverse effects on Oxford City Council.</w:t>
      </w:r>
    </w:p>
    <w:p w14:paraId="5720B7AB" w14:textId="70D8436B" w:rsidR="002547EB" w:rsidRPr="00B96FC0" w:rsidRDefault="002547EB" w:rsidP="6E37FCBD">
      <w:pPr>
        <w:pStyle w:val="Default"/>
        <w:ind w:left="1701" w:hanging="360"/>
        <w:rPr>
          <w:b/>
          <w:bCs/>
        </w:rPr>
      </w:pPr>
    </w:p>
    <w:p w14:paraId="46AFD08E" w14:textId="58A211B4" w:rsidR="002547EB" w:rsidRPr="00B96FC0" w:rsidRDefault="002547EB" w:rsidP="1EDB5DC6">
      <w:pPr>
        <w:pStyle w:val="Default"/>
        <w:ind w:left="720"/>
        <w:rPr>
          <w:b/>
          <w:bCs/>
        </w:rPr>
      </w:pPr>
      <w:r w:rsidRPr="6E37FCBD">
        <w:rPr>
          <w:b/>
        </w:rPr>
        <w:t>Social Housing</w:t>
      </w:r>
    </w:p>
    <w:p w14:paraId="547BB548" w14:textId="35FCE6EA" w:rsidR="002547EB" w:rsidRPr="00B96FC0" w:rsidRDefault="74D9ABB9" w:rsidP="009046B9">
      <w:pPr>
        <w:pStyle w:val="Default"/>
        <w:numPr>
          <w:ilvl w:val="0"/>
          <w:numId w:val="39"/>
        </w:numPr>
        <w:ind w:hanging="720"/>
      </w:pPr>
      <w:r>
        <w:t>Announcements relevant to the management of the council</w:t>
      </w:r>
      <w:r w:rsidR="00DD577A">
        <w:t>’</w:t>
      </w:r>
      <w:r>
        <w:t>s housing stock include:</w:t>
      </w:r>
    </w:p>
    <w:p w14:paraId="71905D82" w14:textId="4434D155" w:rsidR="002547EB" w:rsidRPr="00B96FC0" w:rsidRDefault="002547EB" w:rsidP="002547EB">
      <w:pPr>
        <w:pStyle w:val="Default"/>
        <w:ind w:left="720"/>
        <w:rPr>
          <w:b/>
        </w:rPr>
      </w:pPr>
      <w:r w:rsidRPr="6E37FCBD">
        <w:rPr>
          <w:b/>
        </w:rPr>
        <w:t xml:space="preserve"> </w:t>
      </w:r>
    </w:p>
    <w:p w14:paraId="6F4E71DB" w14:textId="4A698BD9" w:rsidR="15CBA5B4" w:rsidRDefault="15CBA5B4" w:rsidP="009046B9">
      <w:pPr>
        <w:pStyle w:val="Default"/>
        <w:numPr>
          <w:ilvl w:val="0"/>
          <w:numId w:val="27"/>
        </w:numPr>
        <w:ind w:left="1701" w:hanging="425"/>
      </w:pPr>
      <w:r w:rsidRPr="6E37FCBD">
        <w:rPr>
          <w:b/>
          <w:bCs/>
        </w:rPr>
        <w:t>Affordable</w:t>
      </w:r>
      <w:r w:rsidR="07D982C7" w:rsidRPr="6E37FCBD">
        <w:rPr>
          <w:b/>
          <w:bCs/>
        </w:rPr>
        <w:t xml:space="preserve"> Homes </w:t>
      </w:r>
      <w:r w:rsidR="07D982C7">
        <w:t xml:space="preserve">– funding </w:t>
      </w:r>
      <w:r w:rsidR="747937C9">
        <w:t>though</w:t>
      </w:r>
      <w:r w:rsidR="07D982C7">
        <w:t xml:space="preserve"> the </w:t>
      </w:r>
      <w:r w:rsidR="082AE641">
        <w:t>affordable</w:t>
      </w:r>
      <w:r w:rsidR="07D982C7">
        <w:t xml:space="preserve"> homes </w:t>
      </w:r>
      <w:r w:rsidR="008009B9">
        <w:t>program</w:t>
      </w:r>
      <w:r w:rsidR="07D982C7">
        <w:t xml:space="preserve"> will be increased by £500m in </w:t>
      </w:r>
      <w:proofErr w:type="gramStart"/>
      <w:r w:rsidR="07D982C7">
        <w:t>2025-26</w:t>
      </w:r>
      <w:proofErr w:type="gramEnd"/>
    </w:p>
    <w:p w14:paraId="40F06C0A" w14:textId="1F297579" w:rsidR="018FD7F3" w:rsidRDefault="6A9F286A" w:rsidP="009046B9">
      <w:pPr>
        <w:pStyle w:val="Default"/>
        <w:numPr>
          <w:ilvl w:val="0"/>
          <w:numId w:val="27"/>
        </w:numPr>
        <w:ind w:left="1701" w:hanging="425"/>
      </w:pPr>
      <w:r w:rsidRPr="60EA432F">
        <w:rPr>
          <w:b/>
          <w:bCs/>
        </w:rPr>
        <w:t xml:space="preserve">Rent </w:t>
      </w:r>
      <w:r w:rsidR="1E5E5C5D" w:rsidRPr="60EA432F">
        <w:rPr>
          <w:b/>
          <w:bCs/>
        </w:rPr>
        <w:t>increases</w:t>
      </w:r>
      <w:r>
        <w:t xml:space="preserve"> are capped for 2025-26 under existing arrangements at CPI+1% </w:t>
      </w:r>
      <w:r w:rsidR="008009B9">
        <w:t>i.e.</w:t>
      </w:r>
      <w:r w:rsidR="18563E7A">
        <w:t xml:space="preserve"> 2.7%</w:t>
      </w:r>
      <w:r>
        <w:t xml:space="preserve">. </w:t>
      </w:r>
      <w:r w:rsidR="78EE8824">
        <w:t xml:space="preserve">The </w:t>
      </w:r>
      <w:r w:rsidR="0B8BBDD3">
        <w:t>Government</w:t>
      </w:r>
      <w:r w:rsidR="78EE8824">
        <w:t xml:space="preserve"> is consulting on a </w:t>
      </w:r>
      <w:r w:rsidR="336BD151">
        <w:t xml:space="preserve">new </w:t>
      </w:r>
      <w:proofErr w:type="gramStart"/>
      <w:r w:rsidR="336BD151">
        <w:t>5 year</w:t>
      </w:r>
      <w:proofErr w:type="gramEnd"/>
      <w:r w:rsidR="336BD151">
        <w:t xml:space="preserve"> settlement at CPI+1% from April 2026 and seeking views on a </w:t>
      </w:r>
      <w:r w:rsidR="239FEDCE">
        <w:t xml:space="preserve">similar </w:t>
      </w:r>
      <w:r w:rsidR="336BD151">
        <w:t xml:space="preserve">10 year settlement. </w:t>
      </w:r>
    </w:p>
    <w:p w14:paraId="52898146" w14:textId="6A0A76E4" w:rsidR="2CE4458D" w:rsidRDefault="2CE4458D" w:rsidP="009046B9">
      <w:pPr>
        <w:pStyle w:val="Default"/>
        <w:numPr>
          <w:ilvl w:val="0"/>
          <w:numId w:val="27"/>
        </w:numPr>
        <w:ind w:left="1701" w:hanging="425"/>
      </w:pPr>
      <w:r w:rsidRPr="1EDB5DC6">
        <w:rPr>
          <w:b/>
        </w:rPr>
        <w:t>Public Works Loans Board</w:t>
      </w:r>
      <w:r>
        <w:t xml:space="preserve"> – The government is extending the </w:t>
      </w:r>
      <w:r w:rsidR="776F34BF">
        <w:t>discounted</w:t>
      </w:r>
      <w:r>
        <w:t xml:space="preserve"> PWLB, HRA lending rate until March 2026</w:t>
      </w:r>
    </w:p>
    <w:p w14:paraId="6450CF27" w14:textId="1BDD045C" w:rsidR="6E37FCBD" w:rsidRDefault="6E37FCBD" w:rsidP="6E37FCBD">
      <w:pPr>
        <w:pStyle w:val="Default"/>
        <w:ind w:left="1701" w:hanging="425"/>
        <w:rPr>
          <w:highlight w:val="yellow"/>
        </w:rPr>
      </w:pPr>
    </w:p>
    <w:p w14:paraId="7227A719" w14:textId="77777777" w:rsidR="00384BE3" w:rsidRPr="00B96FC0" w:rsidRDefault="00731C9C" w:rsidP="12B5E433">
      <w:pPr>
        <w:spacing w:after="120"/>
        <w:ind w:right="386" w:firstLine="24"/>
        <w:rPr>
          <w:b/>
        </w:rPr>
      </w:pPr>
      <w:r w:rsidRPr="78AF1851">
        <w:rPr>
          <w:b/>
        </w:rPr>
        <w:t>Corporate Priorities</w:t>
      </w:r>
    </w:p>
    <w:p w14:paraId="76425500" w14:textId="4C4ABFD8" w:rsidR="000B78D2" w:rsidRPr="00B96FC0" w:rsidRDefault="000B78D2" w:rsidP="009046B9">
      <w:pPr>
        <w:pStyle w:val="ListParagraph"/>
        <w:numPr>
          <w:ilvl w:val="0"/>
          <w:numId w:val="39"/>
        </w:numPr>
        <w:spacing w:after="120"/>
        <w:ind w:right="386" w:hanging="720"/>
      </w:pPr>
      <w:r>
        <w:t>As in previous year</w:t>
      </w:r>
      <w:r w:rsidR="002F1211">
        <w:t>s</w:t>
      </w:r>
      <w:r>
        <w:t xml:space="preserve"> the Cabinet will set a consultation budget in December with a view to presenting a final budget taking account </w:t>
      </w:r>
      <w:r w:rsidR="00F04BA4">
        <w:t xml:space="preserve">of </w:t>
      </w:r>
      <w:r>
        <w:t xml:space="preserve">the results of this consultation to Cabinet and Council in </w:t>
      </w:r>
      <w:r w:rsidR="00D93703">
        <w:t>February</w:t>
      </w:r>
      <w:r w:rsidR="00382904">
        <w:t xml:space="preserve"> 202</w:t>
      </w:r>
      <w:r w:rsidR="5D697039">
        <w:t>5</w:t>
      </w:r>
      <w:r w:rsidR="00382904">
        <w:t xml:space="preserve"> in line with its key </w:t>
      </w:r>
      <w:r w:rsidR="00D93703">
        <w:t>corporate</w:t>
      </w:r>
      <w:r w:rsidR="00382904">
        <w:t xml:space="preserve"> priorities</w:t>
      </w:r>
      <w:r w:rsidR="008F4F7B">
        <w:t xml:space="preserve"> approved at Cabinet in </w:t>
      </w:r>
      <w:r w:rsidR="5E4E8D37">
        <w:t xml:space="preserve">July </w:t>
      </w:r>
      <w:r w:rsidR="641B4D11">
        <w:t>202</w:t>
      </w:r>
      <w:r w:rsidR="7ACE20D2">
        <w:t>4</w:t>
      </w:r>
      <w:r w:rsidR="00382904">
        <w:t>:</w:t>
      </w:r>
    </w:p>
    <w:p w14:paraId="69C3E8FE" w14:textId="77777777" w:rsidR="00382904" w:rsidRPr="00B96FC0" w:rsidRDefault="00CD5621" w:rsidP="009046B9">
      <w:pPr>
        <w:pStyle w:val="ListParagraph"/>
        <w:numPr>
          <w:ilvl w:val="0"/>
          <w:numId w:val="9"/>
        </w:numPr>
        <w:contextualSpacing/>
      </w:pPr>
      <w:r w:rsidRPr="78AF1851">
        <w:rPr>
          <w:b/>
        </w:rPr>
        <w:t>Enable</w:t>
      </w:r>
      <w:r w:rsidR="00382904" w:rsidRPr="78AF1851">
        <w:rPr>
          <w:b/>
        </w:rPr>
        <w:t xml:space="preserve"> an inclusive economy</w:t>
      </w:r>
      <w:r w:rsidR="00382904">
        <w:t>, key deliverables include:</w:t>
      </w:r>
    </w:p>
    <w:p w14:paraId="1BCE4C31" w14:textId="0CECE050" w:rsidR="00382904" w:rsidRPr="00B96FC0" w:rsidRDefault="00382904" w:rsidP="009046B9">
      <w:pPr>
        <w:pStyle w:val="ListParagraph"/>
        <w:numPr>
          <w:ilvl w:val="1"/>
          <w:numId w:val="9"/>
        </w:numPr>
        <w:ind w:left="1560" w:hanging="426"/>
        <w:contextualSpacing/>
      </w:pPr>
      <w:r>
        <w:lastRenderedPageBreak/>
        <w:t xml:space="preserve">The Council’s staff are skilled and confident in delivering services our </w:t>
      </w:r>
      <w:r w:rsidR="00565092">
        <w:t>residents ‘need</w:t>
      </w:r>
      <w:r>
        <w:t xml:space="preserve"> and the workforce </w:t>
      </w:r>
      <w:proofErr w:type="gramStart"/>
      <w:r>
        <w:t>as a whole better</w:t>
      </w:r>
      <w:proofErr w:type="gramEnd"/>
      <w:r>
        <w:t xml:space="preserve"> reflects Oxford’s diverse </w:t>
      </w:r>
      <w:r w:rsidR="00565092">
        <w:t>population.</w:t>
      </w:r>
    </w:p>
    <w:p w14:paraId="544DA733" w14:textId="30789AC2" w:rsidR="00382904" w:rsidRPr="00B96FC0" w:rsidRDefault="00382904" w:rsidP="009046B9">
      <w:pPr>
        <w:pStyle w:val="ListParagraph"/>
        <w:numPr>
          <w:ilvl w:val="1"/>
          <w:numId w:val="9"/>
        </w:numPr>
        <w:ind w:left="1560" w:hanging="426"/>
        <w:contextualSpacing/>
      </w:pPr>
      <w:r>
        <w:t xml:space="preserve">The Council’s supply chain supports more local businesses, including social enterprises and cooperatives, promoting wider benefits to the local </w:t>
      </w:r>
      <w:r w:rsidR="00565092">
        <w:t>economy.</w:t>
      </w:r>
    </w:p>
    <w:p w14:paraId="7C4D47F5" w14:textId="5B9E6A52" w:rsidR="1BBDCCDB" w:rsidRPr="00B96FC0" w:rsidRDefault="1BBDCCDB" w:rsidP="009046B9">
      <w:pPr>
        <w:pStyle w:val="ListParagraph"/>
        <w:numPr>
          <w:ilvl w:val="1"/>
          <w:numId w:val="9"/>
        </w:numPr>
        <w:ind w:left="1560" w:hanging="426"/>
        <w:contextualSpacing/>
      </w:pPr>
      <w:r>
        <w:t xml:space="preserve">The Council delivers inclusive economic growth by supporting the delivery of new jobs and </w:t>
      </w:r>
      <w:r w:rsidR="00565092">
        <w:t>infrastructure.</w:t>
      </w:r>
    </w:p>
    <w:p w14:paraId="42144098" w14:textId="7BD4CFF2" w:rsidR="00382904" w:rsidRPr="00B96FC0" w:rsidRDefault="00382904" w:rsidP="009046B9">
      <w:pPr>
        <w:pStyle w:val="ListParagraph"/>
        <w:numPr>
          <w:ilvl w:val="0"/>
          <w:numId w:val="9"/>
        </w:numPr>
        <w:contextualSpacing/>
      </w:pPr>
      <w:r w:rsidRPr="78AF1851">
        <w:rPr>
          <w:b/>
        </w:rPr>
        <w:t>Deliver more, affordable housing</w:t>
      </w:r>
      <w:r>
        <w:t>, key deliverables include</w:t>
      </w:r>
      <w:r w:rsidR="00565092">
        <w:t>:</w:t>
      </w:r>
    </w:p>
    <w:p w14:paraId="1DFEE4BB" w14:textId="2F84C9AF" w:rsidR="00382904" w:rsidRPr="00B96FC0" w:rsidRDefault="00382904" w:rsidP="009046B9">
      <w:pPr>
        <w:pStyle w:val="ListParagraph"/>
        <w:numPr>
          <w:ilvl w:val="1"/>
          <w:numId w:val="9"/>
        </w:numPr>
        <w:ind w:left="1560" w:hanging="426"/>
        <w:contextualSpacing/>
        <w:rPr>
          <w:color w:val="000000" w:themeColor="text1"/>
          <w:lang w:eastAsia="en-GB"/>
        </w:rPr>
      </w:pPr>
      <w:r w:rsidRPr="78AF1851">
        <w:rPr>
          <w:color w:val="000000" w:themeColor="text1"/>
          <w:lang w:eastAsia="en-GB"/>
        </w:rPr>
        <w:t>The Council ha</w:t>
      </w:r>
      <w:r w:rsidR="00F04BA4" w:rsidRPr="78AF1851">
        <w:rPr>
          <w:color w:val="000000" w:themeColor="text1"/>
          <w:lang w:eastAsia="en-GB"/>
        </w:rPr>
        <w:t>s</w:t>
      </w:r>
      <w:r w:rsidRPr="78AF1851">
        <w:rPr>
          <w:color w:val="000000" w:themeColor="text1"/>
          <w:lang w:eastAsia="en-GB"/>
        </w:rPr>
        <w:t xml:space="preserve"> increased the supply of high quality, energy efficient housing with a balanced mix of homes for sale and to rent at different price </w:t>
      </w:r>
      <w:r w:rsidR="00565092" w:rsidRPr="78AF1851">
        <w:rPr>
          <w:color w:val="000000" w:themeColor="text1"/>
          <w:lang w:eastAsia="en-GB"/>
        </w:rPr>
        <w:t>points.</w:t>
      </w:r>
      <w:r w:rsidRPr="78AF1851">
        <w:rPr>
          <w:color w:val="000000" w:themeColor="text1"/>
          <w:lang w:eastAsia="en-GB"/>
        </w:rPr>
        <w:t xml:space="preserve"> </w:t>
      </w:r>
    </w:p>
    <w:p w14:paraId="5699A7C8" w14:textId="689724C2" w:rsidR="00382904" w:rsidRPr="00B96FC0" w:rsidRDefault="00382904" w:rsidP="009046B9">
      <w:pPr>
        <w:pStyle w:val="ListParagraph"/>
        <w:numPr>
          <w:ilvl w:val="1"/>
          <w:numId w:val="9"/>
        </w:numPr>
        <w:ind w:left="1560" w:hanging="426"/>
        <w:contextualSpacing/>
        <w:rPr>
          <w:color w:val="000000" w:themeColor="text1"/>
          <w:lang w:eastAsia="en-GB"/>
        </w:rPr>
      </w:pPr>
      <w:r w:rsidRPr="78AF1851">
        <w:rPr>
          <w:color w:val="000000" w:themeColor="text1"/>
          <w:lang w:eastAsia="en-GB"/>
        </w:rPr>
        <w:t xml:space="preserve">The Council’s Blackbird Leys regeneration delivers high quality homes and a better use of </w:t>
      </w:r>
      <w:r w:rsidR="00565092" w:rsidRPr="78AF1851">
        <w:rPr>
          <w:color w:val="000000" w:themeColor="text1"/>
          <w:lang w:eastAsia="en-GB"/>
        </w:rPr>
        <w:t>space.</w:t>
      </w:r>
    </w:p>
    <w:p w14:paraId="5FC6994B" w14:textId="6CBA8B36" w:rsidR="00382904" w:rsidRPr="00B96FC0" w:rsidRDefault="00382904" w:rsidP="009046B9">
      <w:pPr>
        <w:pStyle w:val="ListParagraph"/>
        <w:numPr>
          <w:ilvl w:val="1"/>
          <w:numId w:val="9"/>
        </w:numPr>
        <w:ind w:left="1560" w:hanging="426"/>
        <w:contextualSpacing/>
        <w:rPr>
          <w:color w:val="000000" w:themeColor="text1"/>
          <w:lang w:eastAsia="en-GB"/>
        </w:rPr>
      </w:pPr>
      <w:r w:rsidRPr="78AF1851">
        <w:rPr>
          <w:color w:val="000000" w:themeColor="text1"/>
          <w:lang w:eastAsia="en-GB"/>
        </w:rPr>
        <w:t xml:space="preserve">More Council and private sector tenants are supported to stay in their homes where they face the prospect of </w:t>
      </w:r>
      <w:r w:rsidR="00565092" w:rsidRPr="78AF1851">
        <w:rPr>
          <w:color w:val="000000" w:themeColor="text1"/>
          <w:lang w:eastAsia="en-GB"/>
        </w:rPr>
        <w:t>eviction.</w:t>
      </w:r>
    </w:p>
    <w:p w14:paraId="60F3B2D4" w14:textId="1C6076D4" w:rsidR="00382904" w:rsidRPr="00B96FC0" w:rsidRDefault="00382904" w:rsidP="009046B9">
      <w:pPr>
        <w:pStyle w:val="ListParagraph"/>
        <w:numPr>
          <w:ilvl w:val="0"/>
          <w:numId w:val="9"/>
        </w:numPr>
        <w:ind w:left="1134" w:hanging="425"/>
        <w:contextualSpacing/>
      </w:pPr>
      <w:r w:rsidRPr="78AF1851">
        <w:rPr>
          <w:b/>
        </w:rPr>
        <w:t xml:space="preserve">Support </w:t>
      </w:r>
      <w:r w:rsidR="00CD5621" w:rsidRPr="78AF1851">
        <w:rPr>
          <w:b/>
        </w:rPr>
        <w:t>thriving</w:t>
      </w:r>
      <w:r w:rsidRPr="78AF1851">
        <w:rPr>
          <w:b/>
        </w:rPr>
        <w:t xml:space="preserve"> communities</w:t>
      </w:r>
      <w:r>
        <w:t>, key deliverables include</w:t>
      </w:r>
      <w:r w:rsidR="00565092">
        <w:t>:</w:t>
      </w:r>
    </w:p>
    <w:p w14:paraId="00204E07" w14:textId="3C85CD5E" w:rsidR="00382904" w:rsidRPr="00B96FC0" w:rsidRDefault="00382904" w:rsidP="009046B9">
      <w:pPr>
        <w:pStyle w:val="ListParagraph"/>
        <w:numPr>
          <w:ilvl w:val="1"/>
          <w:numId w:val="9"/>
        </w:numPr>
        <w:ind w:left="1560" w:hanging="426"/>
        <w:contextualSpacing/>
        <w:rPr>
          <w:color w:val="000000" w:themeColor="text1"/>
          <w:lang w:eastAsia="en-GB"/>
        </w:rPr>
      </w:pPr>
      <w:r w:rsidRPr="78AF1851">
        <w:rPr>
          <w:color w:val="000000" w:themeColor="text1"/>
          <w:lang w:eastAsia="en-GB"/>
        </w:rPr>
        <w:t xml:space="preserve">The Council’s services, grants, community and leisure facilities, parks and cultural events have helped reduce inequality, increase </w:t>
      </w:r>
      <w:proofErr w:type="gramStart"/>
      <w:r w:rsidRPr="78AF1851">
        <w:rPr>
          <w:color w:val="000000" w:themeColor="text1"/>
          <w:lang w:eastAsia="en-GB"/>
        </w:rPr>
        <w:t>cohesion</w:t>
      </w:r>
      <w:proofErr w:type="gramEnd"/>
      <w:r w:rsidRPr="78AF1851">
        <w:rPr>
          <w:color w:val="000000" w:themeColor="text1"/>
          <w:lang w:eastAsia="en-GB"/>
        </w:rPr>
        <w:t xml:space="preserve"> and improve health and wellbeing across Oxford’s </w:t>
      </w:r>
      <w:r w:rsidR="00565092" w:rsidRPr="78AF1851">
        <w:rPr>
          <w:color w:val="000000" w:themeColor="text1"/>
          <w:lang w:eastAsia="en-GB"/>
        </w:rPr>
        <w:t>communities.</w:t>
      </w:r>
    </w:p>
    <w:p w14:paraId="725E224E" w14:textId="5C914ABD" w:rsidR="00382904" w:rsidRPr="00B96FC0" w:rsidRDefault="00382904" w:rsidP="009046B9">
      <w:pPr>
        <w:pStyle w:val="ListParagraph"/>
        <w:numPr>
          <w:ilvl w:val="1"/>
          <w:numId w:val="9"/>
        </w:numPr>
        <w:ind w:left="1560" w:hanging="426"/>
        <w:contextualSpacing/>
        <w:rPr>
          <w:color w:val="000000" w:themeColor="text1"/>
          <w:lang w:eastAsia="en-GB"/>
        </w:rPr>
      </w:pPr>
      <w:r w:rsidRPr="78AF1851">
        <w:rPr>
          <w:color w:val="000000" w:themeColor="text1"/>
          <w:lang w:eastAsia="en-GB"/>
        </w:rPr>
        <w:t xml:space="preserve">Children and young people’s resilience and confidence is increased through the educational and recreational activities </w:t>
      </w:r>
      <w:r w:rsidR="00F04BA4" w:rsidRPr="78AF1851">
        <w:rPr>
          <w:color w:val="000000" w:themeColor="text1"/>
          <w:lang w:eastAsia="en-GB"/>
        </w:rPr>
        <w:t>the Council</w:t>
      </w:r>
      <w:r w:rsidRPr="78AF1851">
        <w:rPr>
          <w:color w:val="000000" w:themeColor="text1"/>
          <w:lang w:eastAsia="en-GB"/>
        </w:rPr>
        <w:t xml:space="preserve"> </w:t>
      </w:r>
      <w:r w:rsidR="00565092" w:rsidRPr="78AF1851">
        <w:rPr>
          <w:color w:val="000000" w:themeColor="text1"/>
          <w:lang w:eastAsia="en-GB"/>
        </w:rPr>
        <w:t>offers.</w:t>
      </w:r>
    </w:p>
    <w:p w14:paraId="2056FA48" w14:textId="1E6FE4A3" w:rsidR="00382904" w:rsidRPr="00B96FC0" w:rsidRDefault="00382904" w:rsidP="009046B9">
      <w:pPr>
        <w:pStyle w:val="ListParagraph"/>
        <w:numPr>
          <w:ilvl w:val="1"/>
          <w:numId w:val="9"/>
        </w:numPr>
        <w:ind w:left="1560" w:hanging="426"/>
        <w:contextualSpacing/>
        <w:rPr>
          <w:color w:val="000000" w:themeColor="text1"/>
          <w:lang w:eastAsia="en-GB"/>
        </w:rPr>
      </w:pPr>
      <w:r w:rsidRPr="78AF1851">
        <w:rPr>
          <w:color w:val="000000" w:themeColor="text1"/>
          <w:lang w:eastAsia="en-GB"/>
        </w:rPr>
        <w:t xml:space="preserve">The Council’s public spaces remain clean, safe, well maintained and are more </w:t>
      </w:r>
      <w:r w:rsidR="00565092" w:rsidRPr="78AF1851">
        <w:rPr>
          <w:color w:val="000000" w:themeColor="text1"/>
          <w:lang w:eastAsia="en-GB"/>
        </w:rPr>
        <w:t>accessible.</w:t>
      </w:r>
    </w:p>
    <w:p w14:paraId="43CC6C41" w14:textId="2577C555" w:rsidR="00382904" w:rsidRPr="00B96FC0" w:rsidRDefault="00382904" w:rsidP="009046B9">
      <w:pPr>
        <w:pStyle w:val="ListParagraph"/>
        <w:numPr>
          <w:ilvl w:val="0"/>
          <w:numId w:val="9"/>
        </w:numPr>
        <w:ind w:left="1134" w:hanging="425"/>
        <w:contextualSpacing/>
      </w:pPr>
      <w:r w:rsidRPr="78AF1851">
        <w:rPr>
          <w:b/>
        </w:rPr>
        <w:t>Pursue a zero carbon Oxford</w:t>
      </w:r>
      <w:r w:rsidR="730659EB" w:rsidRPr="78AF1851">
        <w:rPr>
          <w:b/>
        </w:rPr>
        <w:t>,</w:t>
      </w:r>
      <w:r>
        <w:t xml:space="preserve"> key deliverables include</w:t>
      </w:r>
      <w:r w:rsidR="00565092">
        <w:t>:</w:t>
      </w:r>
    </w:p>
    <w:p w14:paraId="1461DA20" w14:textId="4343C043" w:rsidR="00382904" w:rsidRPr="00B96FC0" w:rsidRDefault="00382904" w:rsidP="009046B9">
      <w:pPr>
        <w:pStyle w:val="ListParagraph"/>
        <w:numPr>
          <w:ilvl w:val="1"/>
          <w:numId w:val="9"/>
        </w:numPr>
        <w:ind w:left="1560" w:hanging="426"/>
        <w:contextualSpacing/>
        <w:rPr>
          <w:color w:val="000000" w:themeColor="text1"/>
          <w:lang w:eastAsia="en-GB"/>
        </w:rPr>
      </w:pPr>
      <w:r w:rsidRPr="78AF1851">
        <w:rPr>
          <w:color w:val="000000" w:themeColor="text1"/>
          <w:lang w:eastAsia="en-GB"/>
        </w:rPr>
        <w:t xml:space="preserve">The City Council making significant progress on the journey to reduce its own carbon footprint to </w:t>
      </w:r>
      <w:r w:rsidR="00565092" w:rsidRPr="78AF1851">
        <w:rPr>
          <w:color w:val="000000" w:themeColor="text1"/>
          <w:lang w:eastAsia="en-GB"/>
        </w:rPr>
        <w:t>zero.</w:t>
      </w:r>
    </w:p>
    <w:p w14:paraId="08F9AF4E" w14:textId="248439A9" w:rsidR="00382904" w:rsidRPr="00B96FC0" w:rsidRDefault="00382904" w:rsidP="009046B9">
      <w:pPr>
        <w:pStyle w:val="ListParagraph"/>
        <w:numPr>
          <w:ilvl w:val="1"/>
          <w:numId w:val="9"/>
        </w:numPr>
        <w:ind w:left="1560" w:hanging="426"/>
        <w:contextualSpacing/>
        <w:rPr>
          <w:color w:val="000000" w:themeColor="text1"/>
          <w:lang w:eastAsia="en-GB"/>
        </w:rPr>
      </w:pPr>
      <w:r w:rsidRPr="78AF1851">
        <w:rPr>
          <w:color w:val="000000" w:themeColor="text1"/>
          <w:lang w:eastAsia="en-GB"/>
        </w:rPr>
        <w:t xml:space="preserve">All new building by the Council progressing towards near or net-zero carbon </w:t>
      </w:r>
      <w:r w:rsidR="00565092" w:rsidRPr="78AF1851">
        <w:rPr>
          <w:color w:val="000000" w:themeColor="text1"/>
          <w:lang w:eastAsia="en-GB"/>
        </w:rPr>
        <w:t>standards.</w:t>
      </w:r>
    </w:p>
    <w:p w14:paraId="6DC70738" w14:textId="48CBC8CE" w:rsidR="00382904" w:rsidRPr="00B96FC0" w:rsidRDefault="00382904" w:rsidP="009046B9">
      <w:pPr>
        <w:pStyle w:val="ListParagraph"/>
        <w:numPr>
          <w:ilvl w:val="1"/>
          <w:numId w:val="9"/>
        </w:numPr>
        <w:ind w:left="1560" w:hanging="426"/>
        <w:contextualSpacing/>
        <w:rPr>
          <w:color w:val="000000" w:themeColor="text1"/>
          <w:lang w:eastAsia="en-GB"/>
        </w:rPr>
      </w:pPr>
      <w:r w:rsidRPr="78AF1851">
        <w:rPr>
          <w:color w:val="000000" w:themeColor="text1"/>
          <w:lang w:eastAsia="en-GB"/>
        </w:rPr>
        <w:t xml:space="preserve">The Council’s existing council housing is being made more energy </w:t>
      </w:r>
      <w:r w:rsidR="00565092" w:rsidRPr="78AF1851">
        <w:rPr>
          <w:color w:val="000000" w:themeColor="text1"/>
          <w:lang w:eastAsia="en-GB"/>
        </w:rPr>
        <w:t>efficient.</w:t>
      </w:r>
    </w:p>
    <w:p w14:paraId="7973D386" w14:textId="3F4A8517" w:rsidR="00511905" w:rsidRPr="00B96FC0" w:rsidRDefault="00511905" w:rsidP="009046B9">
      <w:pPr>
        <w:pStyle w:val="ListParagraph"/>
        <w:numPr>
          <w:ilvl w:val="0"/>
          <w:numId w:val="9"/>
        </w:numPr>
        <w:contextualSpacing/>
        <w:rPr>
          <w:color w:val="000000" w:themeColor="text1"/>
          <w:lang w:eastAsia="en-GB"/>
        </w:rPr>
      </w:pPr>
      <w:r w:rsidRPr="78AF1851">
        <w:rPr>
          <w:color w:val="000000" w:themeColor="text1"/>
          <w:lang w:eastAsia="en-GB"/>
        </w:rPr>
        <w:t xml:space="preserve"> </w:t>
      </w:r>
      <w:proofErr w:type="gramStart"/>
      <w:r w:rsidR="00565092" w:rsidRPr="78AF1851">
        <w:rPr>
          <w:b/>
          <w:color w:val="000000" w:themeColor="text1"/>
          <w:lang w:eastAsia="en-GB"/>
        </w:rPr>
        <w:t>Well</w:t>
      </w:r>
      <w:proofErr w:type="gramEnd"/>
      <w:r w:rsidRPr="78AF1851">
        <w:rPr>
          <w:b/>
          <w:color w:val="000000" w:themeColor="text1"/>
          <w:lang w:eastAsia="en-GB"/>
        </w:rPr>
        <w:t xml:space="preserve"> Run Council </w:t>
      </w:r>
      <w:r w:rsidRPr="78AF1851">
        <w:rPr>
          <w:color w:val="000000" w:themeColor="text1"/>
          <w:lang w:eastAsia="en-GB"/>
        </w:rPr>
        <w:t xml:space="preserve">key deliverables include </w:t>
      </w:r>
    </w:p>
    <w:p w14:paraId="6FF765F4" w14:textId="49DCFD56" w:rsidR="00511905" w:rsidRPr="00B96FC0" w:rsidRDefault="00511905" w:rsidP="009046B9">
      <w:pPr>
        <w:pStyle w:val="ListParagraph"/>
        <w:numPr>
          <w:ilvl w:val="1"/>
          <w:numId w:val="9"/>
        </w:numPr>
        <w:contextualSpacing/>
        <w:rPr>
          <w:color w:val="000000" w:themeColor="text1"/>
          <w:lang w:eastAsia="en-GB"/>
        </w:rPr>
      </w:pPr>
      <w:r w:rsidRPr="78AF1851">
        <w:rPr>
          <w:color w:val="000000" w:themeColor="text1"/>
          <w:lang w:eastAsia="en-GB"/>
        </w:rPr>
        <w:t xml:space="preserve">Deliver modern accessible services for our diverse </w:t>
      </w:r>
      <w:r w:rsidR="00565092" w:rsidRPr="78AF1851">
        <w:rPr>
          <w:color w:val="000000" w:themeColor="text1"/>
          <w:lang w:eastAsia="en-GB"/>
        </w:rPr>
        <w:t>communities.</w:t>
      </w:r>
    </w:p>
    <w:p w14:paraId="4B3B9004" w14:textId="516E8958" w:rsidR="00511905" w:rsidRPr="00B96FC0" w:rsidRDefault="00511905" w:rsidP="009046B9">
      <w:pPr>
        <w:pStyle w:val="ListParagraph"/>
        <w:numPr>
          <w:ilvl w:val="1"/>
          <w:numId w:val="9"/>
        </w:numPr>
        <w:contextualSpacing/>
        <w:rPr>
          <w:color w:val="000000" w:themeColor="text1"/>
          <w:lang w:eastAsia="en-GB"/>
        </w:rPr>
      </w:pPr>
      <w:r w:rsidRPr="78AF1851">
        <w:rPr>
          <w:color w:val="000000" w:themeColor="text1"/>
          <w:lang w:eastAsia="en-GB"/>
        </w:rPr>
        <w:t xml:space="preserve">Ensure financial resilience so we can continue a wide range of </w:t>
      </w:r>
      <w:r w:rsidR="00565092" w:rsidRPr="78AF1851">
        <w:rPr>
          <w:color w:val="000000" w:themeColor="text1"/>
          <w:lang w:eastAsia="en-GB"/>
        </w:rPr>
        <w:t>services.</w:t>
      </w:r>
    </w:p>
    <w:p w14:paraId="0E0E33D4" w14:textId="3DA2731C" w:rsidR="00511905" w:rsidRPr="00B96FC0" w:rsidRDefault="00511905" w:rsidP="009046B9">
      <w:pPr>
        <w:pStyle w:val="ListParagraph"/>
        <w:numPr>
          <w:ilvl w:val="1"/>
          <w:numId w:val="9"/>
        </w:numPr>
        <w:contextualSpacing/>
        <w:rPr>
          <w:color w:val="000000" w:themeColor="text1"/>
          <w:lang w:eastAsia="en-GB"/>
        </w:rPr>
      </w:pPr>
      <w:r w:rsidRPr="78AF1851">
        <w:rPr>
          <w:color w:val="000000" w:themeColor="text1"/>
          <w:lang w:eastAsia="en-GB"/>
        </w:rPr>
        <w:t xml:space="preserve">Ensure high levels of </w:t>
      </w:r>
      <w:r w:rsidR="00565092" w:rsidRPr="78AF1851">
        <w:rPr>
          <w:color w:val="000000" w:themeColor="text1"/>
          <w:lang w:eastAsia="en-GB"/>
        </w:rPr>
        <w:t>cybersecurity.</w:t>
      </w:r>
      <w:r w:rsidRPr="78AF1851">
        <w:rPr>
          <w:color w:val="000000" w:themeColor="text1"/>
          <w:lang w:eastAsia="en-GB"/>
        </w:rPr>
        <w:t xml:space="preserve"> </w:t>
      </w:r>
    </w:p>
    <w:p w14:paraId="076CDEEA" w14:textId="77777777" w:rsidR="00382904" w:rsidRPr="00B96FC0" w:rsidRDefault="00382904" w:rsidP="007D5831">
      <w:pPr>
        <w:spacing w:after="120"/>
        <w:ind w:right="386" w:firstLine="24"/>
      </w:pPr>
    </w:p>
    <w:p w14:paraId="1FF6C05C" w14:textId="28F0EBAE" w:rsidR="000B78D2" w:rsidRPr="00B96FC0" w:rsidRDefault="00382904" w:rsidP="009046B9">
      <w:pPr>
        <w:pStyle w:val="ListParagraph"/>
        <w:numPr>
          <w:ilvl w:val="0"/>
          <w:numId w:val="39"/>
        </w:numPr>
        <w:spacing w:after="120"/>
        <w:ind w:right="386" w:hanging="720"/>
      </w:pPr>
      <w:r>
        <w:t xml:space="preserve">The </w:t>
      </w:r>
      <w:r w:rsidR="004A48D9">
        <w:t xml:space="preserve">budget re-set strategy </w:t>
      </w:r>
      <w:r>
        <w:t>has been undertaken by:</w:t>
      </w:r>
      <w:r w:rsidR="004A48D9">
        <w:t xml:space="preserve"> </w:t>
      </w:r>
    </w:p>
    <w:p w14:paraId="583E3B9F" w14:textId="00284B8C" w:rsidR="004A48D9" w:rsidRPr="00B96FC0" w:rsidRDefault="004A48D9" w:rsidP="009046B9">
      <w:pPr>
        <w:pStyle w:val="ListParagraph"/>
        <w:numPr>
          <w:ilvl w:val="0"/>
          <w:numId w:val="11"/>
        </w:numPr>
        <w:spacing w:after="120"/>
        <w:ind w:left="1134" w:right="386" w:hanging="425"/>
      </w:pPr>
      <w:r>
        <w:t>R</w:t>
      </w:r>
      <w:r w:rsidR="00731C9C">
        <w:t>eview</w:t>
      </w:r>
      <w:r w:rsidR="0045646F">
        <w:t>ing</w:t>
      </w:r>
      <w:r w:rsidR="00731C9C">
        <w:t xml:space="preserve"> all </w:t>
      </w:r>
      <w:r w:rsidR="670BFB98">
        <w:t>four-year</w:t>
      </w:r>
      <w:r w:rsidR="00731C9C">
        <w:t xml:space="preserve"> assumptions around changes to the base budget</w:t>
      </w:r>
      <w:r w:rsidR="00F7F65A">
        <w:t>.</w:t>
      </w:r>
    </w:p>
    <w:p w14:paraId="2C952352" w14:textId="7346D32A" w:rsidR="004A48D9" w:rsidRPr="00B96FC0" w:rsidRDefault="004A48D9" w:rsidP="009046B9">
      <w:pPr>
        <w:pStyle w:val="ListParagraph"/>
        <w:numPr>
          <w:ilvl w:val="0"/>
          <w:numId w:val="11"/>
        </w:numPr>
        <w:spacing w:after="120"/>
        <w:ind w:left="1134" w:right="386" w:hanging="425"/>
      </w:pPr>
      <w:r>
        <w:t>I</w:t>
      </w:r>
      <w:r w:rsidR="00382904">
        <w:t>ntroducing</w:t>
      </w:r>
      <w:r>
        <w:t xml:space="preserve"> officer proposals to reduce spend or in some instances increase </w:t>
      </w:r>
      <w:r w:rsidR="00DB6B2A">
        <w:t>income where it</w:t>
      </w:r>
      <w:r w:rsidR="00962190">
        <w:t xml:space="preserve"> is</w:t>
      </w:r>
      <w:r>
        <w:t xml:space="preserve"> prudent </w:t>
      </w:r>
      <w:r w:rsidR="21742CF9">
        <w:t xml:space="preserve">so to do. </w:t>
      </w:r>
    </w:p>
    <w:p w14:paraId="7078C8A5" w14:textId="29668069" w:rsidR="004A48D9" w:rsidRPr="00B96FC0" w:rsidRDefault="00884D92" w:rsidP="009046B9">
      <w:pPr>
        <w:pStyle w:val="ListParagraph"/>
        <w:numPr>
          <w:ilvl w:val="0"/>
          <w:numId w:val="11"/>
        </w:numPr>
        <w:spacing w:after="120"/>
        <w:ind w:left="1134" w:right="386" w:hanging="425"/>
      </w:pPr>
      <w:r>
        <w:t>Liaison with the Council</w:t>
      </w:r>
      <w:r w:rsidR="00962190">
        <w:t>’</w:t>
      </w:r>
      <w:r>
        <w:t xml:space="preserve">s wholly owned companies on their future business plans and adjusting the amount of financial return and dividend to the Council </w:t>
      </w:r>
      <w:r w:rsidR="004A48D9">
        <w:t>accordingly.</w:t>
      </w:r>
    </w:p>
    <w:p w14:paraId="211E8759" w14:textId="7F1FDC34" w:rsidR="00AA5C0D" w:rsidRPr="00B96FC0" w:rsidRDefault="00AA5C0D" w:rsidP="009046B9">
      <w:pPr>
        <w:pStyle w:val="ListParagraph"/>
        <w:numPr>
          <w:ilvl w:val="0"/>
          <w:numId w:val="11"/>
        </w:numPr>
        <w:spacing w:after="120"/>
        <w:ind w:left="1134" w:right="386" w:hanging="425"/>
      </w:pPr>
      <w:r>
        <w:t xml:space="preserve">Maximising the use of the assets </w:t>
      </w:r>
      <w:r w:rsidR="4F8F069A">
        <w:t xml:space="preserve">held by the Council. </w:t>
      </w:r>
    </w:p>
    <w:p w14:paraId="64B64332" w14:textId="17C48908" w:rsidR="00CD6BC6" w:rsidRPr="00B96FC0" w:rsidRDefault="00CD6BC6" w:rsidP="009046B9">
      <w:pPr>
        <w:pStyle w:val="ListParagraph"/>
        <w:numPr>
          <w:ilvl w:val="0"/>
          <w:numId w:val="11"/>
        </w:numPr>
        <w:spacing w:after="120"/>
        <w:ind w:left="1134" w:right="386" w:hanging="425"/>
      </w:pPr>
      <w:r>
        <w:t xml:space="preserve">Using reserves to smooth out fluctuations in the General Fund over the </w:t>
      </w:r>
      <w:r w:rsidR="67E82285">
        <w:t>four-year</w:t>
      </w:r>
      <w:r>
        <w:t xml:space="preserve"> period</w:t>
      </w:r>
      <w:r w:rsidR="3EF10C78">
        <w:t>,</w:t>
      </w:r>
      <w:r>
        <w:t xml:space="preserve"> whilst ensuring that such reserves are not depleted</w:t>
      </w:r>
      <w:r w:rsidR="00924DA6">
        <w:t>.</w:t>
      </w:r>
    </w:p>
    <w:p w14:paraId="57ED09C7" w14:textId="265B609E" w:rsidR="00890C32" w:rsidRPr="00B96FC0" w:rsidRDefault="00890C32" w:rsidP="009046B9">
      <w:pPr>
        <w:pStyle w:val="ListParagraph"/>
        <w:numPr>
          <w:ilvl w:val="0"/>
          <w:numId w:val="11"/>
        </w:numPr>
        <w:spacing w:after="120"/>
        <w:ind w:left="1134" w:right="386" w:hanging="425"/>
      </w:pPr>
      <w:r>
        <w:t>Cutting or reducing discretionary services</w:t>
      </w:r>
      <w:r w:rsidR="00792100">
        <w:t>, which is a last resort.</w:t>
      </w:r>
    </w:p>
    <w:p w14:paraId="3F3CCCAD" w14:textId="77777777" w:rsidR="00DB6B2A" w:rsidRPr="00B96FC0" w:rsidRDefault="00DB6B2A" w:rsidP="00924DA6">
      <w:pPr>
        <w:spacing w:after="120"/>
        <w:ind w:right="386" w:firstLine="24"/>
      </w:pPr>
    </w:p>
    <w:p w14:paraId="1A84D7D3" w14:textId="76A7F807" w:rsidR="004A48D9" w:rsidRPr="00B96FC0" w:rsidRDefault="10AABD46" w:rsidP="009046B9">
      <w:pPr>
        <w:pStyle w:val="ListParagraph"/>
        <w:numPr>
          <w:ilvl w:val="0"/>
          <w:numId w:val="39"/>
        </w:numPr>
        <w:spacing w:after="120"/>
        <w:ind w:right="386" w:hanging="720"/>
      </w:pPr>
      <w:r>
        <w:lastRenderedPageBreak/>
        <w:t>Taking account of this strategy</w:t>
      </w:r>
      <w:r w:rsidR="7E324DCF">
        <w:t>,</w:t>
      </w:r>
      <w:r>
        <w:t xml:space="preserve"> the key assumptions are outlined below.</w:t>
      </w:r>
    </w:p>
    <w:p w14:paraId="20AC5929" w14:textId="467F7720" w:rsidR="1EDB5DC6" w:rsidRDefault="1EDB5DC6" w:rsidP="1EDB5DC6">
      <w:pPr>
        <w:spacing w:after="334"/>
        <w:contextualSpacing/>
        <w:rPr>
          <w:b/>
          <w:bCs/>
          <w:sz w:val="28"/>
          <w:szCs w:val="28"/>
        </w:rPr>
      </w:pPr>
    </w:p>
    <w:p w14:paraId="2AEC33E2" w14:textId="77777777" w:rsidR="00C37005" w:rsidRPr="00B96FC0" w:rsidRDefault="00C37005" w:rsidP="00924DA6">
      <w:pPr>
        <w:autoSpaceDE w:val="0"/>
        <w:autoSpaceDN w:val="0"/>
        <w:spacing w:after="334"/>
        <w:contextualSpacing/>
        <w:rPr>
          <w:b/>
          <w:sz w:val="28"/>
          <w:szCs w:val="28"/>
        </w:rPr>
      </w:pPr>
      <w:r w:rsidRPr="78AF1851">
        <w:rPr>
          <w:b/>
          <w:sz w:val="28"/>
          <w:szCs w:val="28"/>
        </w:rPr>
        <w:t>Section B General Fund Revenue Budget</w:t>
      </w:r>
    </w:p>
    <w:p w14:paraId="428F2C82" w14:textId="77777777" w:rsidR="00C37005" w:rsidRDefault="00C37005" w:rsidP="00924DA6">
      <w:pPr>
        <w:spacing w:after="120"/>
        <w:ind w:right="386" w:firstLine="24"/>
      </w:pPr>
    </w:p>
    <w:p w14:paraId="178B8FB2" w14:textId="44C44999" w:rsidR="006D2EFB" w:rsidRPr="00B96FC0" w:rsidRDefault="006D2EFB" w:rsidP="009046B9">
      <w:pPr>
        <w:pStyle w:val="ListParagraph"/>
        <w:numPr>
          <w:ilvl w:val="0"/>
          <w:numId w:val="39"/>
        </w:numPr>
        <w:spacing w:after="120"/>
        <w:ind w:right="386" w:hanging="720"/>
      </w:pPr>
      <w:r>
        <w:t xml:space="preserve">Appendix 1 and appendix 2 give details by service and directorate of the budgets for General Fund Services over the </w:t>
      </w:r>
      <w:proofErr w:type="gramStart"/>
      <w:r>
        <w:t>4 year</w:t>
      </w:r>
      <w:proofErr w:type="gramEnd"/>
      <w:r>
        <w:t xml:space="preserve"> Medium Term Financial Plan. In addition to the Chancellor</w:t>
      </w:r>
      <w:r w:rsidR="00687451">
        <w:t>’</w:t>
      </w:r>
      <w:r>
        <w:t xml:space="preserve">s Autumn </w:t>
      </w:r>
      <w:r w:rsidR="00687451">
        <w:t xml:space="preserve">Statement </w:t>
      </w:r>
      <w:proofErr w:type="gramStart"/>
      <w:r>
        <w:t>other</w:t>
      </w:r>
      <w:proofErr w:type="gramEnd"/>
      <w:r>
        <w:t xml:space="preserve"> Key General Fund assumptions are discussed in more detail below.  </w:t>
      </w:r>
    </w:p>
    <w:p w14:paraId="09AB550A" w14:textId="77777777" w:rsidR="00731C9C" w:rsidRPr="00A37BBD" w:rsidRDefault="00731C9C" w:rsidP="00924DA6">
      <w:pPr>
        <w:spacing w:after="120"/>
        <w:ind w:right="386"/>
        <w:rPr>
          <w:b/>
        </w:rPr>
      </w:pPr>
      <w:r w:rsidRPr="00A37BBD">
        <w:rPr>
          <w:b/>
        </w:rPr>
        <w:t>Key General Fund Assumptions</w:t>
      </w:r>
    </w:p>
    <w:p w14:paraId="302D27DC" w14:textId="77777777" w:rsidR="009E51EC" w:rsidRPr="007D0000" w:rsidRDefault="007B6AB3" w:rsidP="00927576">
      <w:pPr>
        <w:spacing w:after="120"/>
        <w:ind w:right="386" w:firstLine="24"/>
      </w:pPr>
      <w:r w:rsidRPr="007D0000">
        <w:rPr>
          <w:b/>
        </w:rPr>
        <w:t>Retained</w:t>
      </w:r>
      <w:r w:rsidRPr="007D0000">
        <w:t xml:space="preserve"> </w:t>
      </w:r>
      <w:r w:rsidR="00B16E72" w:rsidRPr="007D0000">
        <w:rPr>
          <w:b/>
        </w:rPr>
        <w:t>Business Rates</w:t>
      </w:r>
    </w:p>
    <w:p w14:paraId="4F5EDEB7" w14:textId="029E6649" w:rsidR="00860300" w:rsidRPr="00B96FC0" w:rsidRDefault="001E172C" w:rsidP="009046B9">
      <w:pPr>
        <w:pStyle w:val="ListParagraph"/>
        <w:numPr>
          <w:ilvl w:val="0"/>
          <w:numId w:val="39"/>
        </w:numPr>
        <w:spacing w:after="120"/>
        <w:ind w:right="386" w:hanging="720"/>
        <w:rPr>
          <w:highlight w:val="yellow"/>
        </w:rPr>
      </w:pPr>
      <w:r w:rsidRPr="007D0000">
        <w:t xml:space="preserve">Business rates income collected by Oxford City Council as billing authority is split 50/50 with central government with the </w:t>
      </w:r>
      <w:r w:rsidR="00CA6854" w:rsidRPr="007D0000">
        <w:t xml:space="preserve">billing authority’s 50% share </w:t>
      </w:r>
      <w:r w:rsidRPr="007D0000">
        <w:t>split 80/20 between Oxford City Council and Oxfordshire County Council respectively</w:t>
      </w:r>
      <w:r>
        <w:t xml:space="preserve">. </w:t>
      </w:r>
      <w:r w:rsidR="009E51EC">
        <w:t xml:space="preserve"> </w:t>
      </w:r>
      <w:r>
        <w:t xml:space="preserve">From </w:t>
      </w:r>
      <w:r w:rsidR="007D680C">
        <w:t>its</w:t>
      </w:r>
      <w:r>
        <w:t xml:space="preserve"> 80% share the Council pays a tariff to central government and retains a baseline amount (set by the Government) together with 50% of the retained income above this baseline. </w:t>
      </w:r>
      <w:r w:rsidR="00860300">
        <w:t xml:space="preserve">The main components of the system </w:t>
      </w:r>
      <w:r w:rsidR="002A5B89">
        <w:t xml:space="preserve">with estimates of individual elements for Oxford City for </w:t>
      </w:r>
      <w:r w:rsidR="00EF163F">
        <w:t>202</w:t>
      </w:r>
      <w:r w:rsidR="00E655C8">
        <w:t>5</w:t>
      </w:r>
      <w:r w:rsidR="002A5B89">
        <w:t>/</w:t>
      </w:r>
      <w:r w:rsidR="00EF163F">
        <w:t>202</w:t>
      </w:r>
      <w:r w:rsidR="3E2D56C5">
        <w:t>6</w:t>
      </w:r>
      <w:r w:rsidR="002A5B89">
        <w:t xml:space="preserve"> are </w:t>
      </w:r>
      <w:r w:rsidR="005B5F9E">
        <w:t xml:space="preserve">shown below. The overall amount of retained business rates by the authority </w:t>
      </w:r>
      <w:r w:rsidR="009D756F">
        <w:t>for 20</w:t>
      </w:r>
      <w:r w:rsidR="003C3043">
        <w:t>2</w:t>
      </w:r>
      <w:r w:rsidR="5C043CA5">
        <w:t>5</w:t>
      </w:r>
      <w:r w:rsidR="009D756F">
        <w:t>-2</w:t>
      </w:r>
      <w:r w:rsidR="7540DD06">
        <w:t>6</w:t>
      </w:r>
      <w:r w:rsidR="009D756F">
        <w:t xml:space="preserve"> represents around </w:t>
      </w:r>
      <w:r w:rsidR="00453911">
        <w:t>1</w:t>
      </w:r>
      <w:r w:rsidR="52915445">
        <w:t>2</w:t>
      </w:r>
      <w:r w:rsidR="00453911">
        <w:t>.</w:t>
      </w:r>
      <w:r w:rsidR="4B3C63DB">
        <w:t>8</w:t>
      </w:r>
      <w:r w:rsidR="009D756F">
        <w:t>% of total business rates income.</w:t>
      </w:r>
    </w:p>
    <w:p w14:paraId="0592EA60" w14:textId="77777777" w:rsidR="007E7FA6" w:rsidRPr="00B96FC0" w:rsidRDefault="007E7FA6" w:rsidP="007E7FA6">
      <w:pPr>
        <w:spacing w:after="120"/>
        <w:ind w:right="386"/>
        <w:rPr>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268"/>
      </w:tblGrid>
      <w:tr w:rsidR="00096BAD" w:rsidRPr="00B96FC0" w14:paraId="66AFE219" w14:textId="77777777" w:rsidTr="78AF1851">
        <w:tc>
          <w:tcPr>
            <w:tcW w:w="8364" w:type="dxa"/>
            <w:gridSpan w:val="2"/>
            <w:shd w:val="clear" w:color="auto" w:fill="BFBFBF" w:themeFill="background1" w:themeFillShade="BF"/>
          </w:tcPr>
          <w:p w14:paraId="70361AD2" w14:textId="45607029" w:rsidR="00096BAD" w:rsidRPr="00B96FC0" w:rsidRDefault="00096BAD" w:rsidP="00ED2696">
            <w:pPr>
              <w:spacing w:after="120"/>
              <w:ind w:right="386"/>
              <w:rPr>
                <w:b/>
              </w:rPr>
            </w:pPr>
            <w:r w:rsidRPr="78AF1851">
              <w:rPr>
                <w:b/>
              </w:rPr>
              <w:t xml:space="preserve">Table </w:t>
            </w:r>
            <w:proofErr w:type="gramStart"/>
            <w:r w:rsidR="00ED2696" w:rsidRPr="78AF1851">
              <w:rPr>
                <w:b/>
              </w:rPr>
              <w:t>4</w:t>
            </w:r>
            <w:r w:rsidRPr="78AF1851">
              <w:rPr>
                <w:b/>
              </w:rPr>
              <w:t xml:space="preserve"> :</w:t>
            </w:r>
            <w:proofErr w:type="gramEnd"/>
            <w:r w:rsidRPr="78AF1851">
              <w:rPr>
                <w:b/>
              </w:rPr>
              <w:t xml:space="preserve"> Retained Business Rates </w:t>
            </w:r>
            <w:r w:rsidR="52AA12F2" w:rsidRPr="78AF1851">
              <w:rPr>
                <w:b/>
                <w:bCs/>
              </w:rPr>
              <w:t>20</w:t>
            </w:r>
            <w:r w:rsidR="003C3043" w:rsidRPr="78AF1851">
              <w:rPr>
                <w:b/>
                <w:bCs/>
              </w:rPr>
              <w:t>2</w:t>
            </w:r>
            <w:r w:rsidR="27431BF5" w:rsidRPr="78AF1851">
              <w:rPr>
                <w:b/>
                <w:bCs/>
              </w:rPr>
              <w:t>5</w:t>
            </w:r>
            <w:r w:rsidR="52AA12F2" w:rsidRPr="78AF1851">
              <w:rPr>
                <w:b/>
                <w:bCs/>
              </w:rPr>
              <w:t>-</w:t>
            </w:r>
            <w:r w:rsidR="00EF163F" w:rsidRPr="78AF1851">
              <w:rPr>
                <w:b/>
                <w:bCs/>
              </w:rPr>
              <w:t>2</w:t>
            </w:r>
            <w:r w:rsidR="58B1ACF8" w:rsidRPr="78AF1851">
              <w:rPr>
                <w:b/>
                <w:bCs/>
              </w:rPr>
              <w:t>6</w:t>
            </w:r>
          </w:p>
        </w:tc>
      </w:tr>
      <w:tr w:rsidR="00096BAD" w:rsidRPr="00B96FC0" w14:paraId="718C933D" w14:textId="77777777" w:rsidTr="78AF1851">
        <w:tc>
          <w:tcPr>
            <w:tcW w:w="6096" w:type="dxa"/>
            <w:shd w:val="clear" w:color="auto" w:fill="BFBFBF" w:themeFill="background1" w:themeFillShade="BF"/>
          </w:tcPr>
          <w:p w14:paraId="0481C402" w14:textId="77777777" w:rsidR="00096BAD" w:rsidRPr="00B96FC0" w:rsidRDefault="00096BAD" w:rsidP="00D871CB">
            <w:pPr>
              <w:spacing w:after="120"/>
              <w:ind w:right="386"/>
              <w:jc w:val="both"/>
            </w:pPr>
          </w:p>
        </w:tc>
        <w:tc>
          <w:tcPr>
            <w:tcW w:w="2268" w:type="dxa"/>
            <w:shd w:val="clear" w:color="auto" w:fill="BFBFBF" w:themeFill="background1" w:themeFillShade="BF"/>
          </w:tcPr>
          <w:p w14:paraId="01493BED" w14:textId="77777777" w:rsidR="00096BAD" w:rsidRPr="00B96FC0" w:rsidRDefault="00096BAD" w:rsidP="00D871CB">
            <w:pPr>
              <w:spacing w:after="120"/>
              <w:jc w:val="right"/>
              <w:rPr>
                <w:b/>
              </w:rPr>
            </w:pPr>
            <w:r w:rsidRPr="78AF1851">
              <w:rPr>
                <w:b/>
              </w:rPr>
              <w:t>£million</w:t>
            </w:r>
          </w:p>
        </w:tc>
      </w:tr>
      <w:tr w:rsidR="00096BAD" w:rsidRPr="00B96FC0" w14:paraId="4E0A2C3E" w14:textId="77777777" w:rsidTr="00A541EB">
        <w:tc>
          <w:tcPr>
            <w:tcW w:w="6096" w:type="dxa"/>
            <w:shd w:val="clear" w:color="auto" w:fill="auto"/>
          </w:tcPr>
          <w:p w14:paraId="38F98871" w14:textId="77777777" w:rsidR="00096BAD" w:rsidRPr="00B96FC0" w:rsidRDefault="00096BAD" w:rsidP="78AF1851">
            <w:pPr>
              <w:spacing w:after="120"/>
              <w:ind w:left="34" w:right="386"/>
            </w:pPr>
            <w:r>
              <w:t>Estimated Business Rates Income</w:t>
            </w:r>
          </w:p>
        </w:tc>
        <w:tc>
          <w:tcPr>
            <w:tcW w:w="2268" w:type="dxa"/>
            <w:shd w:val="clear" w:color="auto" w:fill="auto"/>
          </w:tcPr>
          <w:p w14:paraId="57F4310A" w14:textId="4E103E48" w:rsidR="00096BAD" w:rsidRPr="00B96FC0" w:rsidRDefault="05347160" w:rsidP="009E4621">
            <w:pPr>
              <w:spacing w:after="120"/>
              <w:ind w:right="5"/>
              <w:jc w:val="right"/>
            </w:pPr>
            <w:r>
              <w:t>99</w:t>
            </w:r>
            <w:r w:rsidR="00E655C8">
              <w:t>.</w:t>
            </w:r>
            <w:r w:rsidR="51FC01A3">
              <w:t>740</w:t>
            </w:r>
          </w:p>
        </w:tc>
      </w:tr>
      <w:tr w:rsidR="00096BAD" w:rsidRPr="00B96FC0" w14:paraId="2A1DA3BA" w14:textId="77777777" w:rsidTr="00A541EB">
        <w:tc>
          <w:tcPr>
            <w:tcW w:w="6096" w:type="dxa"/>
            <w:shd w:val="clear" w:color="auto" w:fill="auto"/>
          </w:tcPr>
          <w:p w14:paraId="775017AB" w14:textId="77777777" w:rsidR="00096BAD" w:rsidRPr="00B96FC0" w:rsidRDefault="00096BAD" w:rsidP="00D871CB">
            <w:pPr>
              <w:spacing w:after="120"/>
              <w:ind w:right="386"/>
            </w:pPr>
            <w:r>
              <w:t>Billing Authority Share (50%)</w:t>
            </w:r>
          </w:p>
        </w:tc>
        <w:tc>
          <w:tcPr>
            <w:tcW w:w="2268" w:type="dxa"/>
            <w:shd w:val="clear" w:color="auto" w:fill="auto"/>
          </w:tcPr>
          <w:p w14:paraId="56A8F075" w14:textId="4E16634B" w:rsidR="00096BAD" w:rsidRPr="00B96FC0" w:rsidRDefault="164E4495" w:rsidP="009E4621">
            <w:pPr>
              <w:spacing w:after="120"/>
              <w:ind w:right="5"/>
              <w:jc w:val="right"/>
            </w:pPr>
            <w:r>
              <w:t>49.746</w:t>
            </w:r>
          </w:p>
        </w:tc>
      </w:tr>
      <w:tr w:rsidR="00096BAD" w:rsidRPr="00B96FC0" w14:paraId="7EC6865B" w14:textId="77777777" w:rsidTr="00A541EB">
        <w:tc>
          <w:tcPr>
            <w:tcW w:w="6096" w:type="dxa"/>
            <w:shd w:val="clear" w:color="auto" w:fill="auto"/>
          </w:tcPr>
          <w:p w14:paraId="4E1EEDA3" w14:textId="77777777" w:rsidR="00096BAD" w:rsidRPr="00B96FC0" w:rsidRDefault="00096BAD" w:rsidP="00D871CB">
            <w:pPr>
              <w:spacing w:after="120"/>
              <w:ind w:right="386"/>
            </w:pPr>
            <w:r>
              <w:t>Oxford City Share (80%)</w:t>
            </w:r>
            <w:r>
              <w:tab/>
            </w:r>
          </w:p>
        </w:tc>
        <w:tc>
          <w:tcPr>
            <w:tcW w:w="2268" w:type="dxa"/>
            <w:shd w:val="clear" w:color="auto" w:fill="auto"/>
          </w:tcPr>
          <w:p w14:paraId="138F629B" w14:textId="2D52B3E8" w:rsidR="00096BAD" w:rsidRPr="00B96FC0" w:rsidRDefault="700F763F" w:rsidP="009E4621">
            <w:pPr>
              <w:spacing w:after="120"/>
              <w:ind w:right="5"/>
              <w:jc w:val="right"/>
            </w:pPr>
            <w:r>
              <w:t>39.796</w:t>
            </w:r>
          </w:p>
        </w:tc>
      </w:tr>
      <w:tr w:rsidR="00096BAD" w:rsidRPr="00B96FC0" w14:paraId="0226D68C" w14:textId="77777777" w:rsidTr="00A541EB">
        <w:tc>
          <w:tcPr>
            <w:tcW w:w="6096" w:type="dxa"/>
            <w:shd w:val="clear" w:color="auto" w:fill="auto"/>
          </w:tcPr>
          <w:p w14:paraId="211D5E27" w14:textId="77777777" w:rsidR="00096BAD" w:rsidRPr="00B96FC0" w:rsidRDefault="00096BAD" w:rsidP="00D871CB">
            <w:pPr>
              <w:spacing w:after="120"/>
              <w:ind w:right="386"/>
            </w:pPr>
            <w:r>
              <w:t>Less Tariff paid to Government</w:t>
            </w:r>
          </w:p>
        </w:tc>
        <w:tc>
          <w:tcPr>
            <w:tcW w:w="2268" w:type="dxa"/>
            <w:shd w:val="clear" w:color="auto" w:fill="auto"/>
          </w:tcPr>
          <w:p w14:paraId="7EB1B2D7" w14:textId="29135C21" w:rsidR="00096BAD" w:rsidRPr="00B96FC0" w:rsidRDefault="00E655C8" w:rsidP="009E4621">
            <w:pPr>
              <w:spacing w:after="120"/>
              <w:ind w:right="5"/>
              <w:jc w:val="right"/>
            </w:pPr>
            <w:r>
              <w:t>3</w:t>
            </w:r>
            <w:r w:rsidR="009E4621">
              <w:t>2</w:t>
            </w:r>
            <w:r>
              <w:t>.</w:t>
            </w:r>
            <w:r w:rsidR="10A6F231">
              <w:t>673</w:t>
            </w:r>
          </w:p>
        </w:tc>
      </w:tr>
      <w:tr w:rsidR="00096BAD" w:rsidRPr="00B96FC0" w14:paraId="539A1A18" w14:textId="77777777" w:rsidTr="78AF1851">
        <w:tc>
          <w:tcPr>
            <w:tcW w:w="6096" w:type="dxa"/>
            <w:shd w:val="clear" w:color="auto" w:fill="BFBFBF" w:themeFill="background1" w:themeFillShade="BF"/>
          </w:tcPr>
          <w:p w14:paraId="270176D4" w14:textId="77777777" w:rsidR="00096BAD" w:rsidRPr="00B96FC0" w:rsidRDefault="00096BAD" w:rsidP="00D871CB">
            <w:pPr>
              <w:spacing w:after="120"/>
              <w:ind w:right="386"/>
              <w:rPr>
                <w:b/>
              </w:rPr>
            </w:pPr>
            <w:r w:rsidRPr="78AF1851">
              <w:rPr>
                <w:b/>
              </w:rPr>
              <w:t>Amount remaining after tariff</w:t>
            </w:r>
            <w:r w:rsidR="00A541EB" w:rsidRPr="78AF1851">
              <w:rPr>
                <w:b/>
              </w:rPr>
              <w:t xml:space="preserve"> </w:t>
            </w:r>
            <w:r w:rsidR="002E5017" w:rsidRPr="78AF1851">
              <w:rPr>
                <w:b/>
              </w:rPr>
              <w:t>(A)</w:t>
            </w:r>
          </w:p>
        </w:tc>
        <w:tc>
          <w:tcPr>
            <w:tcW w:w="2268" w:type="dxa"/>
            <w:shd w:val="clear" w:color="auto" w:fill="BFBFBF" w:themeFill="background1" w:themeFillShade="BF"/>
          </w:tcPr>
          <w:p w14:paraId="7E385ECF" w14:textId="449DD03A" w:rsidR="00096BAD" w:rsidRPr="00B96FC0" w:rsidRDefault="7C0B9D52" w:rsidP="00D871CB">
            <w:pPr>
              <w:spacing w:after="120"/>
              <w:ind w:right="5"/>
              <w:jc w:val="right"/>
              <w:rPr>
                <w:b/>
              </w:rPr>
            </w:pPr>
            <w:r w:rsidRPr="78AF1851">
              <w:rPr>
                <w:b/>
                <w:bCs/>
              </w:rPr>
              <w:t>12.871</w:t>
            </w:r>
          </w:p>
        </w:tc>
      </w:tr>
      <w:tr w:rsidR="00096BAD" w:rsidRPr="00B96FC0" w14:paraId="0A212DC7" w14:textId="77777777" w:rsidTr="00A541EB">
        <w:tc>
          <w:tcPr>
            <w:tcW w:w="6096" w:type="dxa"/>
            <w:shd w:val="clear" w:color="auto" w:fill="auto"/>
          </w:tcPr>
          <w:p w14:paraId="59E7DDF6" w14:textId="77777777" w:rsidR="00096BAD" w:rsidRPr="00B96FC0" w:rsidRDefault="00096BAD" w:rsidP="00D871CB">
            <w:pPr>
              <w:spacing w:after="120"/>
              <w:ind w:right="386"/>
            </w:pPr>
            <w:r>
              <w:t>Baseline Business Rates</w:t>
            </w:r>
            <w:r w:rsidR="00A541EB">
              <w:t xml:space="preserve"> </w:t>
            </w:r>
          </w:p>
        </w:tc>
        <w:tc>
          <w:tcPr>
            <w:tcW w:w="2268" w:type="dxa"/>
            <w:shd w:val="clear" w:color="auto" w:fill="auto"/>
          </w:tcPr>
          <w:p w14:paraId="2F3B1F01" w14:textId="62C4C602" w:rsidR="00096BAD" w:rsidRPr="00B96FC0" w:rsidRDefault="00025602" w:rsidP="009E4621">
            <w:pPr>
              <w:spacing w:after="120"/>
              <w:ind w:right="5"/>
              <w:jc w:val="right"/>
            </w:pPr>
            <w:r>
              <w:t>6.</w:t>
            </w:r>
            <w:r w:rsidR="009E4621">
              <w:t>9</w:t>
            </w:r>
            <w:r w:rsidR="3278B9F2">
              <w:t>86</w:t>
            </w:r>
          </w:p>
        </w:tc>
      </w:tr>
      <w:tr w:rsidR="00096BAD" w:rsidRPr="00B96FC0" w14:paraId="29EE91A0" w14:textId="77777777" w:rsidTr="00A541EB">
        <w:tc>
          <w:tcPr>
            <w:tcW w:w="6096" w:type="dxa"/>
            <w:shd w:val="clear" w:color="auto" w:fill="auto"/>
          </w:tcPr>
          <w:p w14:paraId="35E5D88D" w14:textId="606E1329" w:rsidR="00096BAD" w:rsidRPr="00B96FC0" w:rsidRDefault="00096BAD" w:rsidP="009E4621">
            <w:pPr>
              <w:spacing w:after="120"/>
              <w:ind w:right="386"/>
            </w:pPr>
            <w:r>
              <w:t>Income above baseline (</w:t>
            </w:r>
            <w:r w:rsidR="00D871CB">
              <w:t>£</w:t>
            </w:r>
            <w:r w:rsidR="009E4621">
              <w:t>1</w:t>
            </w:r>
            <w:r w:rsidR="7C55430E">
              <w:t>2</w:t>
            </w:r>
            <w:r w:rsidR="009E4621">
              <w:t>.</w:t>
            </w:r>
            <w:r w:rsidR="23253088">
              <w:t>871</w:t>
            </w:r>
            <w:r w:rsidR="00025602">
              <w:t xml:space="preserve">- </w:t>
            </w:r>
            <w:r w:rsidR="00BE4A4D">
              <w:t>6.</w:t>
            </w:r>
            <w:r w:rsidR="009E4621">
              <w:t>9</w:t>
            </w:r>
            <w:r w:rsidR="2FAF9AEE">
              <w:t>86</w:t>
            </w:r>
            <w:r>
              <w:t>)</w:t>
            </w:r>
          </w:p>
        </w:tc>
        <w:tc>
          <w:tcPr>
            <w:tcW w:w="2268" w:type="dxa"/>
            <w:shd w:val="clear" w:color="auto" w:fill="auto"/>
          </w:tcPr>
          <w:p w14:paraId="4DB167F9" w14:textId="32B551CD" w:rsidR="00096BAD" w:rsidRPr="00B96FC0" w:rsidRDefault="5BD03344" w:rsidP="00453911">
            <w:pPr>
              <w:spacing w:after="120"/>
              <w:ind w:right="5"/>
              <w:jc w:val="right"/>
            </w:pPr>
            <w:r>
              <w:t>5</w:t>
            </w:r>
            <w:r w:rsidR="1F4E6A69">
              <w:t>.</w:t>
            </w:r>
            <w:r w:rsidR="773FAFD8">
              <w:t>885</w:t>
            </w:r>
          </w:p>
        </w:tc>
      </w:tr>
      <w:tr w:rsidR="00096BAD" w:rsidRPr="00B96FC0" w14:paraId="08822C27" w14:textId="77777777" w:rsidTr="00A541EB">
        <w:tc>
          <w:tcPr>
            <w:tcW w:w="6096" w:type="dxa"/>
            <w:shd w:val="clear" w:color="auto" w:fill="auto"/>
          </w:tcPr>
          <w:p w14:paraId="40557C9E" w14:textId="77777777" w:rsidR="00096BAD" w:rsidRPr="00B96FC0" w:rsidRDefault="002E5017" w:rsidP="00D871CB">
            <w:pPr>
              <w:spacing w:after="120"/>
              <w:ind w:right="386"/>
            </w:pPr>
            <w:r>
              <w:t>Levy -</w:t>
            </w:r>
            <w:r w:rsidR="00096BAD">
              <w:t>50% of income above baseline</w:t>
            </w:r>
            <w:r w:rsidR="00A541EB">
              <w:t xml:space="preserve"> </w:t>
            </w:r>
            <w:r w:rsidR="00A541EB" w:rsidRPr="78AF1851">
              <w:rPr>
                <w:b/>
              </w:rPr>
              <w:t>(B)</w:t>
            </w:r>
          </w:p>
        </w:tc>
        <w:tc>
          <w:tcPr>
            <w:tcW w:w="2268" w:type="dxa"/>
            <w:shd w:val="clear" w:color="auto" w:fill="auto"/>
          </w:tcPr>
          <w:p w14:paraId="2A9A9CE8" w14:textId="6A14091D" w:rsidR="00096BAD" w:rsidRPr="00B96FC0" w:rsidRDefault="002E5017" w:rsidP="00453911">
            <w:pPr>
              <w:spacing w:after="120"/>
              <w:ind w:right="5"/>
              <w:jc w:val="right"/>
            </w:pPr>
            <w:r>
              <w:t>(</w:t>
            </w:r>
            <w:r w:rsidR="5E2745B1">
              <w:t>2</w:t>
            </w:r>
            <w:r w:rsidR="1F4E6A69">
              <w:t>.</w:t>
            </w:r>
            <w:r w:rsidR="51063FCD">
              <w:t>942</w:t>
            </w:r>
            <w:r>
              <w:t>)</w:t>
            </w:r>
          </w:p>
        </w:tc>
      </w:tr>
      <w:tr w:rsidR="004C288D" w:rsidRPr="00B96FC0" w14:paraId="2EF0951A" w14:textId="77777777" w:rsidTr="00A541EB">
        <w:tc>
          <w:tcPr>
            <w:tcW w:w="6096" w:type="dxa"/>
            <w:shd w:val="clear" w:color="auto" w:fill="auto"/>
          </w:tcPr>
          <w:p w14:paraId="04E48CAB" w14:textId="7941DCD3" w:rsidR="004C288D" w:rsidRPr="00B96FC0" w:rsidRDefault="004C288D" w:rsidP="00D871CB">
            <w:pPr>
              <w:spacing w:after="120"/>
              <w:ind w:right="386"/>
            </w:pPr>
            <w:r>
              <w:t xml:space="preserve">S31 Grant </w:t>
            </w:r>
            <w:r w:rsidR="3AE15585">
              <w:t xml:space="preserve">and other </w:t>
            </w:r>
            <w:proofErr w:type="gramStart"/>
            <w:r w:rsidR="3AE15585">
              <w:t xml:space="preserve">adjustments </w:t>
            </w:r>
            <w:r w:rsidR="00A541EB">
              <w:t xml:space="preserve"> </w:t>
            </w:r>
            <w:r w:rsidR="00A541EB" w:rsidRPr="78AF1851">
              <w:rPr>
                <w:b/>
              </w:rPr>
              <w:t>(</w:t>
            </w:r>
            <w:proofErr w:type="gramEnd"/>
            <w:r w:rsidR="00A541EB" w:rsidRPr="78AF1851">
              <w:rPr>
                <w:b/>
              </w:rPr>
              <w:t>C)</w:t>
            </w:r>
          </w:p>
        </w:tc>
        <w:tc>
          <w:tcPr>
            <w:tcW w:w="2268" w:type="dxa"/>
            <w:shd w:val="clear" w:color="auto" w:fill="auto"/>
          </w:tcPr>
          <w:p w14:paraId="4EF52DF3" w14:textId="04DD7B8B" w:rsidR="004C288D" w:rsidRPr="00B96FC0" w:rsidRDefault="5BB524C3" w:rsidP="00674BAF">
            <w:pPr>
              <w:spacing w:after="120"/>
              <w:ind w:right="5"/>
              <w:jc w:val="right"/>
            </w:pPr>
            <w:r>
              <w:t>-558</w:t>
            </w:r>
          </w:p>
        </w:tc>
      </w:tr>
      <w:tr w:rsidR="78AF1851" w14:paraId="1CD1C6F5" w14:textId="77777777" w:rsidTr="78AF1851">
        <w:trPr>
          <w:trHeight w:val="300"/>
        </w:trPr>
        <w:tc>
          <w:tcPr>
            <w:tcW w:w="6096" w:type="dxa"/>
            <w:shd w:val="clear" w:color="auto" w:fill="auto"/>
          </w:tcPr>
          <w:p w14:paraId="5BB35DDB" w14:textId="1CC93981" w:rsidR="5BB524C3" w:rsidRDefault="5BB524C3" w:rsidP="78AF1851">
            <w:r>
              <w:t xml:space="preserve">Business Rates Distribution Group </w:t>
            </w:r>
            <w:r w:rsidR="37C9FD7C">
              <w:t>net of reserves transfer</w:t>
            </w:r>
            <w:r w:rsidR="29852676">
              <w:t xml:space="preserve"> </w:t>
            </w:r>
            <w:r w:rsidR="29852676" w:rsidRPr="78AF1851">
              <w:rPr>
                <w:b/>
                <w:bCs/>
              </w:rPr>
              <w:t>(D)</w:t>
            </w:r>
          </w:p>
        </w:tc>
        <w:tc>
          <w:tcPr>
            <w:tcW w:w="2268" w:type="dxa"/>
            <w:shd w:val="clear" w:color="auto" w:fill="auto"/>
          </w:tcPr>
          <w:p w14:paraId="3024179F" w14:textId="2ABFA5C6" w:rsidR="37C9FD7C" w:rsidRDefault="37C9FD7C" w:rsidP="78AF1851">
            <w:pPr>
              <w:jc w:val="right"/>
            </w:pPr>
            <w:r>
              <w:t>500</w:t>
            </w:r>
          </w:p>
        </w:tc>
      </w:tr>
      <w:tr w:rsidR="00096BAD" w:rsidRPr="00B96FC0" w14:paraId="4274377E" w14:textId="77777777" w:rsidTr="78AF1851">
        <w:tc>
          <w:tcPr>
            <w:tcW w:w="6096" w:type="dxa"/>
            <w:shd w:val="clear" w:color="auto" w:fill="BFBFBF" w:themeFill="background1" w:themeFillShade="BF"/>
          </w:tcPr>
          <w:p w14:paraId="5E94C768" w14:textId="5D77E051" w:rsidR="00096BAD" w:rsidRPr="00B96FC0" w:rsidRDefault="00096BAD" w:rsidP="00D871CB">
            <w:pPr>
              <w:spacing w:after="120"/>
              <w:ind w:right="386"/>
              <w:rPr>
                <w:b/>
              </w:rPr>
            </w:pPr>
            <w:r w:rsidRPr="78AF1851">
              <w:rPr>
                <w:b/>
              </w:rPr>
              <w:t>Total retained business rate income</w:t>
            </w:r>
            <w:r w:rsidR="00A541EB" w:rsidRPr="78AF1851">
              <w:rPr>
                <w:b/>
              </w:rPr>
              <w:t xml:space="preserve"> (A+B+C</w:t>
            </w:r>
            <w:r w:rsidR="57B28843" w:rsidRPr="78AF1851">
              <w:rPr>
                <w:b/>
                <w:bCs/>
              </w:rPr>
              <w:t>+D</w:t>
            </w:r>
            <w:r w:rsidR="00A541EB" w:rsidRPr="78AF1851">
              <w:rPr>
                <w:b/>
              </w:rPr>
              <w:t>)</w:t>
            </w:r>
          </w:p>
        </w:tc>
        <w:tc>
          <w:tcPr>
            <w:tcW w:w="2268" w:type="dxa"/>
            <w:shd w:val="clear" w:color="auto" w:fill="BFBFBF" w:themeFill="background1" w:themeFillShade="BF"/>
          </w:tcPr>
          <w:p w14:paraId="0CB2CD22" w14:textId="5D3A46F9" w:rsidR="00096BAD" w:rsidRPr="00B96FC0" w:rsidRDefault="00674BAF" w:rsidP="00453911">
            <w:pPr>
              <w:spacing w:after="120"/>
              <w:ind w:right="5"/>
              <w:jc w:val="right"/>
              <w:rPr>
                <w:b/>
              </w:rPr>
            </w:pPr>
            <w:r w:rsidRPr="78AF1851">
              <w:rPr>
                <w:b/>
                <w:bCs/>
              </w:rPr>
              <w:t>1</w:t>
            </w:r>
            <w:r w:rsidR="32E74397" w:rsidRPr="78AF1851">
              <w:rPr>
                <w:b/>
                <w:bCs/>
              </w:rPr>
              <w:t>2</w:t>
            </w:r>
            <w:r w:rsidR="1F4E6A69" w:rsidRPr="78AF1851">
              <w:rPr>
                <w:b/>
                <w:bCs/>
              </w:rPr>
              <w:t>.</w:t>
            </w:r>
            <w:r w:rsidR="762501F1" w:rsidRPr="78AF1851">
              <w:rPr>
                <w:b/>
                <w:bCs/>
              </w:rPr>
              <w:t>8</w:t>
            </w:r>
            <w:r w:rsidR="22359A42" w:rsidRPr="78AF1851">
              <w:rPr>
                <w:b/>
                <w:bCs/>
              </w:rPr>
              <w:t>10</w:t>
            </w:r>
          </w:p>
        </w:tc>
      </w:tr>
    </w:tbl>
    <w:p w14:paraId="7F81A1B4" w14:textId="77777777" w:rsidR="002E3E05" w:rsidRPr="00B96FC0" w:rsidRDefault="002E3E05" w:rsidP="00D871CB">
      <w:pPr>
        <w:spacing w:after="120"/>
        <w:ind w:left="1440" w:right="386" w:hanging="720"/>
        <w:jc w:val="both"/>
        <w:rPr>
          <w:b/>
        </w:rPr>
      </w:pPr>
    </w:p>
    <w:p w14:paraId="2B257ACA" w14:textId="77777777" w:rsidR="002A0774" w:rsidRPr="00B96FC0" w:rsidRDefault="00B8025B" w:rsidP="007E7FA6">
      <w:pPr>
        <w:spacing w:after="120"/>
        <w:ind w:left="709" w:right="386"/>
        <w:jc w:val="both"/>
        <w:rPr>
          <w:b/>
        </w:rPr>
      </w:pPr>
      <w:r w:rsidRPr="78AF1851">
        <w:rPr>
          <w:b/>
        </w:rPr>
        <w:t>Note</w:t>
      </w:r>
      <w:r w:rsidR="00F01CC2" w:rsidRPr="78AF1851">
        <w:rPr>
          <w:b/>
        </w:rPr>
        <w:t>s</w:t>
      </w:r>
      <w:r w:rsidR="007E7FA6" w:rsidRPr="78AF1851">
        <w:rPr>
          <w:b/>
        </w:rPr>
        <w:t>:</w:t>
      </w:r>
    </w:p>
    <w:p w14:paraId="57E46FB9" w14:textId="77777777" w:rsidR="002A0774" w:rsidRPr="00B96FC0" w:rsidRDefault="002A0774" w:rsidP="007E7FA6">
      <w:pPr>
        <w:spacing w:after="120"/>
        <w:ind w:left="709" w:right="386"/>
        <w:jc w:val="both"/>
        <w:rPr>
          <w:b/>
        </w:rPr>
      </w:pPr>
      <w:r w:rsidRPr="78AF1851">
        <w:rPr>
          <w:b/>
        </w:rPr>
        <w:t>Baseline</w:t>
      </w:r>
      <w:r w:rsidR="002E3E05" w:rsidRPr="78AF1851">
        <w:rPr>
          <w:b/>
        </w:rPr>
        <w:t xml:space="preserve"> Business Rates</w:t>
      </w:r>
      <w:r w:rsidRPr="78AF1851">
        <w:rPr>
          <w:b/>
        </w:rPr>
        <w:t xml:space="preserve"> – </w:t>
      </w:r>
      <w:r>
        <w:t xml:space="preserve">The </w:t>
      </w:r>
      <w:r w:rsidR="003E46E1">
        <w:t>G</w:t>
      </w:r>
      <w:r>
        <w:t>overnment</w:t>
      </w:r>
      <w:r w:rsidR="002E3E05">
        <w:t>’</w:t>
      </w:r>
      <w:r>
        <w:t>s view of a fair starting point of business rates income for the billing authority based on formula grant distribution. Updated by RPI each year</w:t>
      </w:r>
      <w:r w:rsidR="00B8025B">
        <w:t>.</w:t>
      </w:r>
      <w:r>
        <w:t xml:space="preserve"> </w:t>
      </w:r>
    </w:p>
    <w:p w14:paraId="719EEBF6" w14:textId="77777777" w:rsidR="002A0774" w:rsidRPr="00B96FC0" w:rsidRDefault="002A0774" w:rsidP="007E7FA6">
      <w:pPr>
        <w:spacing w:after="120"/>
        <w:ind w:left="709" w:right="386"/>
        <w:jc w:val="both"/>
        <w:rPr>
          <w:b/>
        </w:rPr>
      </w:pPr>
      <w:r w:rsidRPr="78AF1851">
        <w:rPr>
          <w:b/>
        </w:rPr>
        <w:t xml:space="preserve">Tariff – </w:t>
      </w:r>
      <w:r w:rsidR="00672354">
        <w:t>The amount paid to the G</w:t>
      </w:r>
      <w:r>
        <w:t xml:space="preserve">overnment each year by the </w:t>
      </w:r>
      <w:r w:rsidR="00A255DE">
        <w:t xml:space="preserve">Council as </w:t>
      </w:r>
      <w:r>
        <w:t xml:space="preserve">billing authority. Updated by </w:t>
      </w:r>
      <w:r w:rsidR="003E46E1">
        <w:t>the retail prices index (</w:t>
      </w:r>
      <w:r>
        <w:t>RPI</w:t>
      </w:r>
      <w:r w:rsidR="003E46E1">
        <w:t>)</w:t>
      </w:r>
      <w:r>
        <w:t xml:space="preserve"> each year.</w:t>
      </w:r>
    </w:p>
    <w:p w14:paraId="78CF41D0" w14:textId="77777777" w:rsidR="00CA6854" w:rsidRPr="00B96FC0" w:rsidRDefault="00CA6854" w:rsidP="007E7FA6">
      <w:pPr>
        <w:spacing w:after="120"/>
        <w:ind w:left="709" w:right="386"/>
        <w:jc w:val="both"/>
      </w:pPr>
      <w:r w:rsidRPr="78AF1851">
        <w:rPr>
          <w:b/>
        </w:rPr>
        <w:lastRenderedPageBreak/>
        <w:t xml:space="preserve">Section 31 </w:t>
      </w:r>
      <w:r w:rsidR="004042B2" w:rsidRPr="78AF1851">
        <w:rPr>
          <w:b/>
        </w:rPr>
        <w:t>grant</w:t>
      </w:r>
      <w:r w:rsidRPr="78AF1851">
        <w:rPr>
          <w:b/>
        </w:rPr>
        <w:t xml:space="preserve">– </w:t>
      </w:r>
      <w:r>
        <w:t>The Government</w:t>
      </w:r>
      <w:r w:rsidR="00672354">
        <w:t>’</w:t>
      </w:r>
      <w:r>
        <w:t xml:space="preserve">s discretionary grant paying power under the Local Government Act 2003 </w:t>
      </w:r>
    </w:p>
    <w:p w14:paraId="3E942CD9" w14:textId="77777777" w:rsidR="00E547AA" w:rsidRPr="00B96FC0" w:rsidRDefault="00E547AA" w:rsidP="002D0973">
      <w:pPr>
        <w:tabs>
          <w:tab w:val="left" w:pos="540"/>
        </w:tabs>
        <w:spacing w:after="120"/>
        <w:ind w:right="386"/>
        <w:rPr>
          <w:b/>
        </w:rPr>
      </w:pPr>
      <w:r w:rsidRPr="78AF1851">
        <w:rPr>
          <w:b/>
        </w:rPr>
        <w:t xml:space="preserve">Oxfordshire </w:t>
      </w:r>
      <w:r w:rsidR="00EC0302" w:rsidRPr="78AF1851">
        <w:rPr>
          <w:b/>
        </w:rPr>
        <w:t xml:space="preserve">Business Rates </w:t>
      </w:r>
      <w:r w:rsidRPr="78AF1851">
        <w:rPr>
          <w:b/>
        </w:rPr>
        <w:t>Pool Arrangements</w:t>
      </w:r>
    </w:p>
    <w:p w14:paraId="5589476A" w14:textId="0C0988A3" w:rsidR="00F8383D" w:rsidRPr="00B96FC0" w:rsidRDefault="000C2E11" w:rsidP="00E801E2">
      <w:pPr>
        <w:pStyle w:val="ReportNumbering"/>
        <w:tabs>
          <w:tab w:val="clear" w:pos="360"/>
          <w:tab w:val="num" w:pos="426"/>
        </w:tabs>
        <w:ind w:hanging="644"/>
      </w:pPr>
      <w:r>
        <w:t>For 202</w:t>
      </w:r>
      <w:r w:rsidR="38CD5E6F">
        <w:t>5</w:t>
      </w:r>
      <w:r>
        <w:t>-2</w:t>
      </w:r>
      <w:r w:rsidR="300C4810">
        <w:t>6</w:t>
      </w:r>
      <w:r>
        <w:t xml:space="preserve"> as in previous years</w:t>
      </w:r>
      <w:r w:rsidR="006C1819">
        <w:t xml:space="preserve"> </w:t>
      </w:r>
      <w:r w:rsidR="00ED7721">
        <w:t xml:space="preserve">the </w:t>
      </w:r>
      <w:r w:rsidR="006C1819">
        <w:t>W</w:t>
      </w:r>
      <w:r w:rsidR="00ED7721">
        <w:t xml:space="preserve">est Oxfordshire Business Rates Pool </w:t>
      </w:r>
      <w:r w:rsidR="00CE0C1F">
        <w:t xml:space="preserve">consisting of Oxfordshire County Council (OCC), Cherwell District Council (CDC) and West Oxfordshire District Council (WODC) will be formed. </w:t>
      </w:r>
    </w:p>
    <w:p w14:paraId="0E858B65" w14:textId="2468A70E" w:rsidR="00CE0C1F" w:rsidRPr="00B96FC0" w:rsidRDefault="00F626A2" w:rsidP="00E801E2">
      <w:pPr>
        <w:pStyle w:val="ReportNumbering"/>
        <w:ind w:hanging="644"/>
      </w:pPr>
      <w:r>
        <w:t>Oxfo</w:t>
      </w:r>
      <w:r w:rsidR="00765072">
        <w:t>rd</w:t>
      </w:r>
      <w:r>
        <w:t xml:space="preserve"> </w:t>
      </w:r>
      <w:r w:rsidR="00765072">
        <w:t xml:space="preserve">City </w:t>
      </w:r>
      <w:r>
        <w:t xml:space="preserve">Council is not part of the current Business Rates Pool as </w:t>
      </w:r>
      <w:r w:rsidR="00111061">
        <w:t>the Council’s</w:t>
      </w:r>
      <w:r w:rsidR="00F8383D">
        <w:t xml:space="preserve"> inclusion does not optimise the financial return to Pool members given the interaction of levy payments to Government. In order that the Council itself is not financially disadvantaged it is part of a </w:t>
      </w:r>
      <w:r w:rsidR="00CE0C1F">
        <w:t>Business Rates Distribution Group</w:t>
      </w:r>
      <w:r w:rsidR="00111061">
        <w:t xml:space="preserve"> (the Group)</w:t>
      </w:r>
      <w:r w:rsidR="00F8383D">
        <w:t xml:space="preserve"> with South Oxfordshire District Council which receives a distribution of growth achieved from the Pool</w:t>
      </w:r>
      <w:r w:rsidR="006C1819">
        <w:t xml:space="preserve"> in exchange for taking some of the risk for business rates losses. This risk is deemed acceptable by the Council</w:t>
      </w:r>
      <w:r w:rsidR="00672354">
        <w:t>’</w:t>
      </w:r>
      <w:r w:rsidR="006C1819">
        <w:t xml:space="preserve">s Chief Financial Officer given the potential </w:t>
      </w:r>
      <w:r w:rsidR="76C29800">
        <w:t>one-off</w:t>
      </w:r>
      <w:r w:rsidR="006C1819">
        <w:t xml:space="preserve"> return to the Council.</w:t>
      </w:r>
      <w:r w:rsidR="00F8383D">
        <w:t xml:space="preserve"> </w:t>
      </w:r>
      <w:r w:rsidR="00A43D2A">
        <w:t xml:space="preserve">A recommendation to join the </w:t>
      </w:r>
      <w:r w:rsidR="00111061">
        <w:t>G</w:t>
      </w:r>
      <w:r w:rsidR="00A43D2A">
        <w:t>roup</w:t>
      </w:r>
      <w:r w:rsidR="00111061">
        <w:t xml:space="preserve"> for 20</w:t>
      </w:r>
      <w:r w:rsidR="006C1819">
        <w:t>2</w:t>
      </w:r>
      <w:r w:rsidR="1741CA94">
        <w:t>5</w:t>
      </w:r>
      <w:r w:rsidR="00111061">
        <w:t>/2</w:t>
      </w:r>
      <w:r w:rsidR="60A17931">
        <w:t>6</w:t>
      </w:r>
      <w:r w:rsidR="00A43D2A">
        <w:t xml:space="preserve"> is part of this report. </w:t>
      </w:r>
    </w:p>
    <w:p w14:paraId="6CB14A03" w14:textId="77777777" w:rsidR="00121CC2" w:rsidRPr="00B96FC0" w:rsidRDefault="00121CC2" w:rsidP="00F61A8F">
      <w:pPr>
        <w:pStyle w:val="ListParagraph"/>
        <w:tabs>
          <w:tab w:val="left" w:pos="540"/>
        </w:tabs>
        <w:spacing w:after="120"/>
        <w:ind w:left="928" w:right="386" w:hanging="928"/>
        <w:rPr>
          <w:b/>
        </w:rPr>
      </w:pPr>
      <w:r w:rsidRPr="78AF1851">
        <w:rPr>
          <w:b/>
        </w:rPr>
        <w:t>New Homes Bonus (NHB)</w:t>
      </w:r>
    </w:p>
    <w:p w14:paraId="4CD9DCD9" w14:textId="67DDEDF1" w:rsidR="006C1819" w:rsidRPr="00B96FC0" w:rsidRDefault="7AAF9E0A" w:rsidP="00E801E2">
      <w:pPr>
        <w:pStyle w:val="ReportNumbering"/>
        <w:ind w:hanging="644"/>
        <w:rPr>
          <w:rStyle w:val="ilfuvd"/>
          <w:rFonts w:cs="Arial"/>
          <w:color w:val="222222"/>
        </w:rPr>
      </w:pPr>
      <w:r w:rsidRPr="6F9FB908">
        <w:rPr>
          <w:rStyle w:val="ilfuvd"/>
          <w:rFonts w:cs="Arial"/>
          <w:color w:val="222222"/>
        </w:rPr>
        <w:t xml:space="preserve">There </w:t>
      </w:r>
      <w:r w:rsidR="55C54E79" w:rsidRPr="6F9FB908">
        <w:rPr>
          <w:rStyle w:val="ilfuvd"/>
          <w:rFonts w:cs="Arial"/>
          <w:color w:val="222222"/>
        </w:rPr>
        <w:t xml:space="preserve">was </w:t>
      </w:r>
      <w:r w:rsidRPr="6F9FB908">
        <w:rPr>
          <w:rStyle w:val="ilfuvd"/>
          <w:rFonts w:cs="Arial"/>
          <w:color w:val="222222"/>
        </w:rPr>
        <w:t xml:space="preserve">no reference to </w:t>
      </w:r>
      <w:r w:rsidR="004F3893" w:rsidRPr="6F9FB908">
        <w:rPr>
          <w:rStyle w:val="ilfuvd"/>
          <w:rFonts w:cs="Arial"/>
          <w:color w:val="222222"/>
        </w:rPr>
        <w:t xml:space="preserve">New Homes Bonus </w:t>
      </w:r>
      <w:r w:rsidR="4677B722" w:rsidRPr="6F9FB908">
        <w:rPr>
          <w:rStyle w:val="ilfuvd"/>
          <w:rFonts w:cs="Arial"/>
          <w:color w:val="222222"/>
        </w:rPr>
        <w:t xml:space="preserve">in the </w:t>
      </w:r>
      <w:r w:rsidR="1E991921" w:rsidRPr="6F9FB908">
        <w:rPr>
          <w:rStyle w:val="ilfuvd"/>
          <w:rFonts w:cs="Arial"/>
          <w:color w:val="222222"/>
        </w:rPr>
        <w:t xml:space="preserve">Autumn Statement and therefore no further amount has been assumed in the MTFP, although this may be included in the </w:t>
      </w:r>
      <w:r w:rsidR="514EDDCD" w:rsidRPr="6F9FB908">
        <w:rPr>
          <w:rStyle w:val="ilfuvd"/>
          <w:rFonts w:cs="Arial"/>
          <w:color w:val="222222"/>
        </w:rPr>
        <w:t xml:space="preserve">Core Spending Power assessment. </w:t>
      </w:r>
      <w:r w:rsidR="00F76BF5">
        <w:rPr>
          <w:rStyle w:val="ilfuvd"/>
          <w:rFonts w:cs="Arial"/>
          <w:color w:val="222222"/>
        </w:rPr>
        <w:t xml:space="preserve">Subsequent announcements suggest there will be a final, one-year allocation.  </w:t>
      </w:r>
      <w:r w:rsidR="3DB60854" w:rsidRPr="6F9FB908">
        <w:rPr>
          <w:rStyle w:val="ilfuvd"/>
          <w:rFonts w:cs="Arial"/>
          <w:color w:val="222222"/>
        </w:rPr>
        <w:t xml:space="preserve">Even if is included it is not </w:t>
      </w:r>
      <w:r w:rsidR="063E7C2D" w:rsidRPr="6F9FB908">
        <w:rPr>
          <w:rStyle w:val="ilfuvd"/>
          <w:rFonts w:cs="Arial"/>
          <w:color w:val="222222"/>
        </w:rPr>
        <w:t>anticipated</w:t>
      </w:r>
      <w:r w:rsidR="3DB60854" w:rsidRPr="6F9FB908">
        <w:rPr>
          <w:rStyle w:val="ilfuvd"/>
          <w:rFonts w:cs="Arial"/>
          <w:color w:val="222222"/>
        </w:rPr>
        <w:t xml:space="preserve"> that the amount due to Oxford will be </w:t>
      </w:r>
      <w:r w:rsidR="4585EE7B" w:rsidRPr="6F9FB908">
        <w:rPr>
          <w:rStyle w:val="ilfuvd"/>
          <w:rFonts w:cs="Arial"/>
          <w:color w:val="222222"/>
        </w:rPr>
        <w:t>significant</w:t>
      </w:r>
      <w:r w:rsidR="3DB60854" w:rsidRPr="6F9FB908">
        <w:rPr>
          <w:rStyle w:val="ilfuvd"/>
          <w:rFonts w:cs="Arial"/>
          <w:color w:val="222222"/>
        </w:rPr>
        <w:t xml:space="preserve"> </w:t>
      </w:r>
      <w:r w:rsidR="42981285" w:rsidRPr="6F9FB908">
        <w:rPr>
          <w:rStyle w:val="ilfuvd"/>
          <w:rFonts w:cs="Arial"/>
          <w:color w:val="222222"/>
        </w:rPr>
        <w:t>since the change in the number of dw</w:t>
      </w:r>
      <w:r w:rsidR="04E7CC38" w:rsidRPr="6F9FB908">
        <w:rPr>
          <w:rStyle w:val="ilfuvd"/>
          <w:rFonts w:cs="Arial"/>
          <w:color w:val="222222"/>
        </w:rPr>
        <w:t>e</w:t>
      </w:r>
      <w:r w:rsidR="42981285" w:rsidRPr="6F9FB908">
        <w:rPr>
          <w:rStyle w:val="ilfuvd"/>
          <w:rFonts w:cs="Arial"/>
          <w:color w:val="222222"/>
        </w:rPr>
        <w:t>llings brought into rating between November 2023 and October 2024 on which</w:t>
      </w:r>
      <w:r w:rsidR="43130647" w:rsidRPr="6F9FB908">
        <w:rPr>
          <w:rStyle w:val="ilfuvd"/>
          <w:rFonts w:cs="Arial"/>
          <w:color w:val="222222"/>
        </w:rPr>
        <w:t xml:space="preserve"> th</w:t>
      </w:r>
      <w:r w:rsidR="7697932C" w:rsidRPr="6F9FB908">
        <w:rPr>
          <w:rStyle w:val="ilfuvd"/>
          <w:rFonts w:cs="Arial"/>
          <w:color w:val="222222"/>
        </w:rPr>
        <w:t>e</w:t>
      </w:r>
      <w:r w:rsidR="43130647" w:rsidRPr="6F9FB908">
        <w:rPr>
          <w:rStyle w:val="ilfuvd"/>
          <w:rFonts w:cs="Arial"/>
          <w:color w:val="222222"/>
        </w:rPr>
        <w:t xml:space="preserve"> calculation is based has not moved materially overall. </w:t>
      </w:r>
    </w:p>
    <w:p w14:paraId="49BF2EFB" w14:textId="77777777" w:rsidR="00382904" w:rsidRPr="00B96FC0" w:rsidRDefault="00350FB5" w:rsidP="00140175">
      <w:pPr>
        <w:pStyle w:val="NormalWeb"/>
        <w:rPr>
          <w:rFonts w:ascii="Arial" w:hAnsi="Arial" w:cs="Arial"/>
          <w:b/>
          <w:lang w:val="en"/>
        </w:rPr>
      </w:pPr>
      <w:r w:rsidRPr="78AF1851">
        <w:rPr>
          <w:rFonts w:ascii="Arial" w:hAnsi="Arial" w:cs="Arial"/>
          <w:b/>
          <w:lang w:val="en"/>
        </w:rPr>
        <w:t>C</w:t>
      </w:r>
      <w:r w:rsidR="00382904" w:rsidRPr="78AF1851">
        <w:rPr>
          <w:rFonts w:ascii="Arial" w:hAnsi="Arial" w:cs="Arial"/>
          <w:b/>
          <w:lang w:val="en"/>
        </w:rPr>
        <w:t xml:space="preserve">orporate Planning </w:t>
      </w:r>
      <w:r w:rsidR="00C37005" w:rsidRPr="78AF1851">
        <w:rPr>
          <w:rFonts w:ascii="Arial" w:hAnsi="Arial" w:cs="Arial"/>
          <w:b/>
          <w:lang w:val="en"/>
        </w:rPr>
        <w:t>Assumptions</w:t>
      </w:r>
    </w:p>
    <w:p w14:paraId="77F70A5B" w14:textId="38706A97" w:rsidR="008F1B3C" w:rsidRPr="00B96FC0" w:rsidRDefault="00382904" w:rsidP="00E801E2">
      <w:pPr>
        <w:pStyle w:val="ReportNumbering"/>
        <w:rPr>
          <w:rFonts w:cs="Arial"/>
          <w:color w:val="000000"/>
        </w:rPr>
      </w:pPr>
      <w:r w:rsidRPr="78AF1851">
        <w:rPr>
          <w:b/>
        </w:rPr>
        <w:t>Council Tax Increase</w:t>
      </w:r>
      <w:r>
        <w:t xml:space="preserve"> – </w:t>
      </w:r>
      <w:r w:rsidR="13E8668B">
        <w:t>For the past two years the</w:t>
      </w:r>
      <w:r w:rsidR="00456A16">
        <w:t xml:space="preserve"> </w:t>
      </w:r>
      <w:r w:rsidR="00565092">
        <w:t xml:space="preserve">maximum </w:t>
      </w:r>
      <w:r w:rsidR="00792100">
        <w:t xml:space="preserve">Council Tax increase without a referendum </w:t>
      </w:r>
      <w:r w:rsidR="204E33A4">
        <w:t>has been</w:t>
      </w:r>
      <w:r w:rsidR="00520914">
        <w:t xml:space="preserve"> </w:t>
      </w:r>
      <w:r w:rsidR="00565092">
        <w:t>2.99</w:t>
      </w:r>
      <w:r w:rsidR="00456A16">
        <w:t>% or £5</w:t>
      </w:r>
      <w:r w:rsidR="00792100">
        <w:t>,</w:t>
      </w:r>
      <w:r w:rsidR="00456A16">
        <w:t xml:space="preserve"> whichever is the higher</w:t>
      </w:r>
      <w:r w:rsidR="00792100">
        <w:t>,</w:t>
      </w:r>
      <w:r w:rsidR="00456A16">
        <w:t xml:space="preserve"> for </w:t>
      </w:r>
      <w:r w:rsidR="009A7C37">
        <w:t>District Councils</w:t>
      </w:r>
      <w:r w:rsidR="6A357912">
        <w:t xml:space="preserve">. The referendum rate is </w:t>
      </w:r>
      <w:r w:rsidR="00565092">
        <w:t>assumed to be 2</w:t>
      </w:r>
      <w:r w:rsidR="6A357912">
        <w:t xml:space="preserve">.99%, the level which existed prior to the </w:t>
      </w:r>
      <w:r w:rsidR="037E9C3D">
        <w:t>two-year</w:t>
      </w:r>
      <w:r w:rsidR="6A357912">
        <w:t xml:space="preserve"> period </w:t>
      </w:r>
      <w:r w:rsidR="27380076">
        <w:t xml:space="preserve">with effect from 1-4-2025 </w:t>
      </w:r>
      <w:r w:rsidR="00565092">
        <w:t xml:space="preserve">with increases of 1.99% </w:t>
      </w:r>
      <w:r w:rsidR="27380076">
        <w:t xml:space="preserve">for the foreseeable future. </w:t>
      </w:r>
      <w:r w:rsidR="00274328">
        <w:t>Each 1% increase represents around £1</w:t>
      </w:r>
      <w:r w:rsidR="08541E26">
        <w:t>67</w:t>
      </w:r>
      <w:r w:rsidR="00274328">
        <w:t>k o</w:t>
      </w:r>
      <w:r w:rsidR="00565092">
        <w:t xml:space="preserve">f additional </w:t>
      </w:r>
      <w:r w:rsidR="00274328">
        <w:t>annual income</w:t>
      </w:r>
      <w:r w:rsidR="008F1B3C">
        <w:t>.</w:t>
      </w:r>
    </w:p>
    <w:p w14:paraId="467A3557" w14:textId="1E103D6E" w:rsidR="00382904" w:rsidRPr="00B96FC0" w:rsidRDefault="008F1B3C" w:rsidP="00E801E2">
      <w:pPr>
        <w:pStyle w:val="ReportNumbering"/>
        <w:rPr>
          <w:rFonts w:cs="Arial"/>
          <w:color w:val="000000"/>
        </w:rPr>
      </w:pPr>
      <w:r w:rsidRPr="6CA2EDD9">
        <w:rPr>
          <w:b/>
        </w:rPr>
        <w:t xml:space="preserve">Tax Base </w:t>
      </w:r>
      <w:r w:rsidR="3781D436" w:rsidRPr="6CA2EDD9">
        <w:rPr>
          <w:b/>
        </w:rPr>
        <w:t xml:space="preserve">– </w:t>
      </w:r>
      <w:r w:rsidR="3781D436">
        <w:t>The tax base is esti</w:t>
      </w:r>
      <w:r w:rsidR="02A8C1E7">
        <w:t>m</w:t>
      </w:r>
      <w:r w:rsidR="3781D436">
        <w:t>ated at</w:t>
      </w:r>
      <w:r>
        <w:t xml:space="preserve"> </w:t>
      </w:r>
      <w:r w:rsidR="29E77C02">
        <w:t xml:space="preserve">48,127 although this will be subject to </w:t>
      </w:r>
      <w:r w:rsidR="2A92C635">
        <w:t>change</w:t>
      </w:r>
      <w:r w:rsidR="29E77C02">
        <w:t xml:space="preserve"> when it is set at Audit and Governance </w:t>
      </w:r>
      <w:r w:rsidR="70D217E8">
        <w:t>Committee</w:t>
      </w:r>
      <w:r w:rsidR="29E77C02">
        <w:t xml:space="preserve"> in </w:t>
      </w:r>
      <w:r w:rsidR="39D1C065">
        <w:t>January</w:t>
      </w:r>
      <w:r w:rsidR="29E77C02">
        <w:t xml:space="preserve"> 2025. </w:t>
      </w:r>
      <w:r>
        <w:t xml:space="preserve">  </w:t>
      </w:r>
      <w:r w:rsidR="009A7C37">
        <w:t xml:space="preserve"> </w:t>
      </w:r>
    </w:p>
    <w:p w14:paraId="2C702974" w14:textId="182BDB1A" w:rsidR="00CD709C" w:rsidRPr="00B96FC0" w:rsidRDefault="00382904" w:rsidP="00E801E2">
      <w:pPr>
        <w:pStyle w:val="ReportNumbering"/>
        <w:rPr>
          <w:rFonts w:cs="Arial"/>
          <w:color w:val="000000"/>
        </w:rPr>
      </w:pPr>
      <w:r w:rsidRPr="6CA2EDD9">
        <w:rPr>
          <w:rFonts w:cs="Arial"/>
          <w:b/>
          <w:color w:val="000000" w:themeColor="text1"/>
        </w:rPr>
        <w:t xml:space="preserve">Interest </w:t>
      </w:r>
      <w:r w:rsidR="00CD709C" w:rsidRPr="6CA2EDD9">
        <w:rPr>
          <w:rFonts w:cs="Arial"/>
          <w:b/>
          <w:color w:val="000000" w:themeColor="text1"/>
        </w:rPr>
        <w:t>rate assumptions</w:t>
      </w:r>
      <w:r w:rsidR="00CD709C" w:rsidRPr="6CA2EDD9">
        <w:rPr>
          <w:rFonts w:cs="Arial"/>
          <w:color w:val="000000" w:themeColor="text1"/>
        </w:rPr>
        <w:t xml:space="preserve"> </w:t>
      </w:r>
      <w:r w:rsidRPr="6CA2EDD9">
        <w:rPr>
          <w:rFonts w:cs="Arial"/>
          <w:color w:val="000000" w:themeColor="text1"/>
        </w:rPr>
        <w:t>–</w:t>
      </w:r>
      <w:r w:rsidR="00CD709C" w:rsidRPr="6CA2EDD9">
        <w:rPr>
          <w:rFonts w:cs="Arial"/>
          <w:color w:val="000000" w:themeColor="text1"/>
        </w:rPr>
        <w:t xml:space="preserve"> Based on the Bank of England Interest rates shown on Table 3 paragraph </w:t>
      </w:r>
      <w:r w:rsidR="00FE7CC9" w:rsidRPr="6CA2EDD9">
        <w:rPr>
          <w:rFonts w:cs="Arial"/>
          <w:color w:val="000000" w:themeColor="text1"/>
        </w:rPr>
        <w:t>9</w:t>
      </w:r>
      <w:r w:rsidR="00CD709C" w:rsidRPr="6CA2EDD9">
        <w:rPr>
          <w:rFonts w:cs="Arial"/>
          <w:color w:val="000000" w:themeColor="text1"/>
        </w:rPr>
        <w:t xml:space="preserve"> the following interest assumptions have been made:</w:t>
      </w:r>
    </w:p>
    <w:p w14:paraId="083FC718" w14:textId="0CB24E63" w:rsidR="00CD709C" w:rsidRPr="00E801E2" w:rsidRDefault="00CD709C" w:rsidP="009046B9">
      <w:pPr>
        <w:pStyle w:val="ListParagraph"/>
        <w:numPr>
          <w:ilvl w:val="0"/>
          <w:numId w:val="40"/>
        </w:numPr>
        <w:shd w:val="clear" w:color="auto" w:fill="FFFFFF" w:themeFill="background1"/>
        <w:tabs>
          <w:tab w:val="left" w:pos="2160"/>
        </w:tabs>
        <w:spacing w:after="120"/>
        <w:rPr>
          <w:rFonts w:cs="Arial"/>
          <w:color w:val="000000"/>
        </w:rPr>
      </w:pPr>
      <w:r w:rsidRPr="00E801E2">
        <w:rPr>
          <w:rFonts w:cs="Arial"/>
          <w:color w:val="000000" w:themeColor="text1"/>
        </w:rPr>
        <w:t xml:space="preserve">Investment interest </w:t>
      </w:r>
      <w:r w:rsidR="4CA6BC4A" w:rsidRPr="00E801E2">
        <w:rPr>
          <w:rFonts w:cs="Arial"/>
          <w:color w:val="000000" w:themeColor="text1"/>
        </w:rPr>
        <w:t xml:space="preserve">rates </w:t>
      </w:r>
      <w:r w:rsidRPr="00E801E2">
        <w:rPr>
          <w:rFonts w:cs="Arial"/>
          <w:color w:val="000000" w:themeColor="text1"/>
        </w:rPr>
        <w:t xml:space="preserve">– </w:t>
      </w:r>
      <w:r w:rsidR="6AF18C1D" w:rsidRPr="00E801E2">
        <w:rPr>
          <w:rFonts w:cs="Arial"/>
          <w:color w:val="000000" w:themeColor="text1"/>
        </w:rPr>
        <w:t>4.50</w:t>
      </w:r>
      <w:r w:rsidRPr="00E801E2">
        <w:rPr>
          <w:rFonts w:cs="Arial"/>
          <w:color w:val="000000" w:themeColor="text1"/>
        </w:rPr>
        <w:t xml:space="preserve">% - </w:t>
      </w:r>
      <w:r w:rsidR="46001B04" w:rsidRPr="00E801E2">
        <w:rPr>
          <w:rFonts w:cs="Arial"/>
          <w:color w:val="000000" w:themeColor="text1"/>
        </w:rPr>
        <w:t>3.00</w:t>
      </w:r>
      <w:r w:rsidRPr="00E801E2">
        <w:rPr>
          <w:rFonts w:cs="Arial"/>
          <w:color w:val="000000" w:themeColor="text1"/>
        </w:rPr>
        <w:t>%</w:t>
      </w:r>
    </w:p>
    <w:p w14:paraId="6BD44692" w14:textId="0BF515DC" w:rsidR="00CD709C" w:rsidRPr="00E801E2" w:rsidRDefault="00116579" w:rsidP="009046B9">
      <w:pPr>
        <w:pStyle w:val="ListParagraph"/>
        <w:numPr>
          <w:ilvl w:val="0"/>
          <w:numId w:val="40"/>
        </w:numPr>
        <w:shd w:val="clear" w:color="auto" w:fill="FFFFFF" w:themeFill="background1"/>
        <w:tabs>
          <w:tab w:val="left" w:pos="2160"/>
        </w:tabs>
        <w:spacing w:after="120"/>
        <w:rPr>
          <w:rFonts w:cs="Arial"/>
          <w:color w:val="000000"/>
        </w:rPr>
      </w:pPr>
      <w:r w:rsidRPr="00E801E2">
        <w:rPr>
          <w:rFonts w:cs="Arial"/>
          <w:color w:val="000000" w:themeColor="text1"/>
        </w:rPr>
        <w:t>Borrowing</w:t>
      </w:r>
      <w:r w:rsidR="00CD709C" w:rsidRPr="00E801E2">
        <w:rPr>
          <w:rFonts w:cs="Arial"/>
          <w:color w:val="000000" w:themeColor="text1"/>
        </w:rPr>
        <w:t xml:space="preserve"> rates – </w:t>
      </w:r>
      <w:r w:rsidR="57843E55" w:rsidRPr="00E801E2">
        <w:rPr>
          <w:rFonts w:cs="Arial"/>
          <w:color w:val="000000" w:themeColor="text1"/>
        </w:rPr>
        <w:t>4</w:t>
      </w:r>
      <w:r w:rsidR="00CD709C" w:rsidRPr="00E801E2">
        <w:rPr>
          <w:rFonts w:cs="Arial"/>
          <w:color w:val="000000" w:themeColor="text1"/>
        </w:rPr>
        <w:t>.</w:t>
      </w:r>
      <w:r w:rsidR="75C9EE1D" w:rsidRPr="00E801E2">
        <w:rPr>
          <w:rFonts w:cs="Arial"/>
          <w:color w:val="000000" w:themeColor="text1"/>
        </w:rPr>
        <w:t>88</w:t>
      </w:r>
      <w:r w:rsidR="00CD709C" w:rsidRPr="00E801E2">
        <w:rPr>
          <w:rFonts w:cs="Arial"/>
          <w:color w:val="000000" w:themeColor="text1"/>
        </w:rPr>
        <w:t xml:space="preserve">% - </w:t>
      </w:r>
      <w:r w:rsidR="6AA5F375" w:rsidRPr="00E801E2">
        <w:rPr>
          <w:rFonts w:cs="Arial"/>
          <w:color w:val="000000" w:themeColor="text1"/>
        </w:rPr>
        <w:t>4.15</w:t>
      </w:r>
      <w:r w:rsidR="00CD709C" w:rsidRPr="00E801E2">
        <w:rPr>
          <w:rFonts w:cs="Arial"/>
          <w:color w:val="000000" w:themeColor="text1"/>
        </w:rPr>
        <w:t xml:space="preserve">% </w:t>
      </w:r>
    </w:p>
    <w:p w14:paraId="7DEC5310" w14:textId="66E79291" w:rsidR="0092700E" w:rsidRPr="00B96FC0" w:rsidRDefault="00382904" w:rsidP="00E801E2">
      <w:pPr>
        <w:pStyle w:val="ReportNumbering"/>
        <w:rPr>
          <w:rFonts w:cs="Arial"/>
          <w:color w:val="000000"/>
        </w:rPr>
      </w:pPr>
      <w:r w:rsidRPr="00313EBC">
        <w:rPr>
          <w:b/>
          <w:color w:val="000000" w:themeColor="text1"/>
        </w:rPr>
        <w:t>External</w:t>
      </w:r>
      <w:r w:rsidR="0045646F" w:rsidRPr="00313EBC">
        <w:rPr>
          <w:b/>
          <w:color w:val="000000" w:themeColor="text1"/>
        </w:rPr>
        <w:t>ly</w:t>
      </w:r>
      <w:r w:rsidRPr="00313EBC">
        <w:rPr>
          <w:b/>
          <w:color w:val="000000" w:themeColor="text1"/>
        </w:rPr>
        <w:t xml:space="preserve"> Managed Property Investments </w:t>
      </w:r>
      <w:r w:rsidRPr="00313EBC">
        <w:rPr>
          <w:rFonts w:cs="Arial"/>
          <w:color w:val="000000" w:themeColor="text1"/>
        </w:rPr>
        <w:t>– The Council h</w:t>
      </w:r>
      <w:r w:rsidR="18596301" w:rsidRPr="00313EBC">
        <w:rPr>
          <w:rFonts w:cs="Arial"/>
          <w:color w:val="000000" w:themeColor="text1"/>
        </w:rPr>
        <w:t>eld</w:t>
      </w:r>
      <w:r w:rsidRPr="00313EBC">
        <w:rPr>
          <w:rFonts w:cs="Arial"/>
          <w:color w:val="000000" w:themeColor="text1"/>
        </w:rPr>
        <w:t xml:space="preserve"> £10 million invested in two funds </w:t>
      </w:r>
      <w:r w:rsidR="5A02AB96" w:rsidRPr="00313EBC">
        <w:rPr>
          <w:rFonts w:cs="Arial"/>
          <w:color w:val="000000" w:themeColor="text1"/>
        </w:rPr>
        <w:t>for £3</w:t>
      </w:r>
      <w:r w:rsidR="00313EBC">
        <w:rPr>
          <w:rFonts w:cs="Arial"/>
          <w:color w:val="000000" w:themeColor="text1"/>
        </w:rPr>
        <w:t xml:space="preserve"> </w:t>
      </w:r>
      <w:r w:rsidR="5A02AB96" w:rsidRPr="00313EBC">
        <w:rPr>
          <w:rFonts w:cs="Arial"/>
          <w:color w:val="000000" w:themeColor="text1"/>
        </w:rPr>
        <w:t>m</w:t>
      </w:r>
      <w:r w:rsidR="00313EBC">
        <w:rPr>
          <w:rFonts w:cs="Arial"/>
          <w:color w:val="000000" w:themeColor="text1"/>
        </w:rPr>
        <w:t>illion</w:t>
      </w:r>
      <w:r w:rsidR="5A02AB96" w:rsidRPr="00313EBC">
        <w:rPr>
          <w:rFonts w:cs="Arial"/>
          <w:color w:val="000000" w:themeColor="text1"/>
        </w:rPr>
        <w:t xml:space="preserve"> and £7</w:t>
      </w:r>
      <w:r w:rsidR="00313EBC">
        <w:rPr>
          <w:rFonts w:cs="Arial"/>
          <w:color w:val="000000" w:themeColor="text1"/>
        </w:rPr>
        <w:t xml:space="preserve"> </w:t>
      </w:r>
      <w:r w:rsidR="5A02AB96" w:rsidRPr="00313EBC">
        <w:rPr>
          <w:rFonts w:cs="Arial"/>
          <w:color w:val="000000" w:themeColor="text1"/>
        </w:rPr>
        <w:t>million respectively.</w:t>
      </w:r>
      <w:r w:rsidRPr="00313EBC">
        <w:rPr>
          <w:rFonts w:cs="Arial"/>
          <w:color w:val="000000" w:themeColor="text1"/>
        </w:rPr>
        <w:t xml:space="preserve">  </w:t>
      </w:r>
      <w:r w:rsidR="15AE05D1" w:rsidRPr="00313EBC">
        <w:rPr>
          <w:rFonts w:cs="Arial"/>
          <w:color w:val="000000" w:themeColor="text1"/>
        </w:rPr>
        <w:t xml:space="preserve">Whilst </w:t>
      </w:r>
      <w:r w:rsidR="002C6C42" w:rsidRPr="00313EBC">
        <w:rPr>
          <w:rFonts w:cs="Arial"/>
          <w:color w:val="000000" w:themeColor="text1"/>
        </w:rPr>
        <w:t>the £3</w:t>
      </w:r>
      <w:r w:rsidR="00313EBC">
        <w:rPr>
          <w:rFonts w:cs="Arial"/>
          <w:color w:val="000000" w:themeColor="text1"/>
        </w:rPr>
        <w:t xml:space="preserve"> </w:t>
      </w:r>
      <w:r w:rsidR="002C6C42" w:rsidRPr="00313EBC">
        <w:rPr>
          <w:rFonts w:cs="Arial"/>
          <w:color w:val="000000" w:themeColor="text1"/>
        </w:rPr>
        <w:t>m</w:t>
      </w:r>
      <w:r w:rsidR="00313EBC">
        <w:rPr>
          <w:rFonts w:cs="Arial"/>
          <w:color w:val="000000" w:themeColor="text1"/>
        </w:rPr>
        <w:t>illion</w:t>
      </w:r>
      <w:r w:rsidR="15AE05D1" w:rsidRPr="00313EBC">
        <w:rPr>
          <w:rFonts w:cs="Arial"/>
          <w:color w:val="000000" w:themeColor="text1"/>
        </w:rPr>
        <w:t xml:space="preserve"> fund remains </w:t>
      </w:r>
      <w:r w:rsidR="00313EBC" w:rsidRPr="00313EBC">
        <w:rPr>
          <w:rFonts w:cs="Arial"/>
          <w:color w:val="000000" w:themeColor="text1"/>
        </w:rPr>
        <w:t xml:space="preserve">in its entirety </w:t>
      </w:r>
      <w:r w:rsidR="15AE05D1" w:rsidRPr="00313EBC">
        <w:rPr>
          <w:rFonts w:cs="Arial"/>
          <w:color w:val="000000" w:themeColor="text1"/>
        </w:rPr>
        <w:t xml:space="preserve">the council </w:t>
      </w:r>
      <w:r w:rsidR="00313EBC" w:rsidRPr="00313EBC">
        <w:rPr>
          <w:rFonts w:cs="Arial"/>
          <w:color w:val="000000" w:themeColor="text1"/>
        </w:rPr>
        <w:t>i</w:t>
      </w:r>
      <w:r w:rsidR="15AE05D1" w:rsidRPr="00313EBC">
        <w:rPr>
          <w:rFonts w:cs="Arial"/>
          <w:color w:val="000000" w:themeColor="text1"/>
        </w:rPr>
        <w:t>s withdraw</w:t>
      </w:r>
      <w:r w:rsidR="00313EBC" w:rsidRPr="00313EBC">
        <w:rPr>
          <w:rFonts w:cs="Arial"/>
          <w:color w:val="000000" w:themeColor="text1"/>
        </w:rPr>
        <w:t>ing</w:t>
      </w:r>
      <w:r w:rsidR="15AE05D1" w:rsidRPr="00313EBC">
        <w:rPr>
          <w:rFonts w:cs="Arial"/>
          <w:color w:val="000000" w:themeColor="text1"/>
        </w:rPr>
        <w:t xml:space="preserve"> its funds </w:t>
      </w:r>
      <w:r w:rsidR="00F47B17" w:rsidRPr="00313EBC">
        <w:rPr>
          <w:rFonts w:cs="Arial"/>
          <w:color w:val="000000" w:themeColor="text1"/>
        </w:rPr>
        <w:t>from the larger of the two</w:t>
      </w:r>
      <w:r w:rsidR="15AE05D1" w:rsidRPr="00313EBC">
        <w:rPr>
          <w:rFonts w:cs="Arial"/>
          <w:color w:val="000000" w:themeColor="text1"/>
        </w:rPr>
        <w:t>. This is a gradual process requiring the fund manager to sel</w:t>
      </w:r>
      <w:r w:rsidR="21F76001" w:rsidRPr="00313EBC">
        <w:rPr>
          <w:rFonts w:cs="Arial"/>
          <w:color w:val="000000" w:themeColor="text1"/>
        </w:rPr>
        <w:t>l</w:t>
      </w:r>
      <w:r w:rsidR="15AE05D1" w:rsidRPr="00313EBC">
        <w:rPr>
          <w:rFonts w:cs="Arial"/>
          <w:color w:val="000000" w:themeColor="text1"/>
        </w:rPr>
        <w:t xml:space="preserve"> assets </w:t>
      </w:r>
      <w:proofErr w:type="gramStart"/>
      <w:r w:rsidR="15AE05D1" w:rsidRPr="00313EBC">
        <w:rPr>
          <w:rFonts w:cs="Arial"/>
          <w:color w:val="000000" w:themeColor="text1"/>
        </w:rPr>
        <w:t>in order to</w:t>
      </w:r>
      <w:proofErr w:type="gramEnd"/>
      <w:r w:rsidR="15AE05D1" w:rsidRPr="00313EBC">
        <w:rPr>
          <w:rFonts w:cs="Arial"/>
          <w:color w:val="000000" w:themeColor="text1"/>
        </w:rPr>
        <w:t xml:space="preserve"> fund withdrawals</w:t>
      </w:r>
      <w:r w:rsidR="206BC0E1" w:rsidRPr="00313EBC">
        <w:rPr>
          <w:rFonts w:cs="Arial"/>
          <w:color w:val="000000" w:themeColor="text1"/>
        </w:rPr>
        <w:t xml:space="preserve"> although the council should have fully exited this fund by 2025-26. </w:t>
      </w:r>
      <w:r w:rsidRPr="00313EBC">
        <w:rPr>
          <w:rFonts w:cs="Arial"/>
          <w:color w:val="000000" w:themeColor="text1"/>
        </w:rPr>
        <w:t xml:space="preserve">The Council </w:t>
      </w:r>
      <w:r w:rsidR="5355F7F1" w:rsidRPr="00313EBC">
        <w:rPr>
          <w:rFonts w:cs="Arial"/>
          <w:color w:val="000000" w:themeColor="text1"/>
        </w:rPr>
        <w:t xml:space="preserve">continues to </w:t>
      </w:r>
      <w:r w:rsidRPr="00313EBC">
        <w:rPr>
          <w:rFonts w:cs="Arial"/>
          <w:color w:val="000000" w:themeColor="text1"/>
        </w:rPr>
        <w:t>make return</w:t>
      </w:r>
      <w:r w:rsidR="59C5D4B0" w:rsidRPr="00313EBC">
        <w:rPr>
          <w:rFonts w:cs="Arial"/>
          <w:color w:val="000000" w:themeColor="text1"/>
        </w:rPr>
        <w:t>s</w:t>
      </w:r>
      <w:r w:rsidRPr="00313EBC">
        <w:rPr>
          <w:rFonts w:cs="Arial"/>
          <w:color w:val="000000" w:themeColor="text1"/>
        </w:rPr>
        <w:t xml:space="preserve"> of around 3.5% </w:t>
      </w:r>
      <w:r w:rsidR="547FE968" w:rsidRPr="00313EBC">
        <w:rPr>
          <w:rFonts w:cs="Arial"/>
          <w:color w:val="000000" w:themeColor="text1"/>
        </w:rPr>
        <w:t xml:space="preserve">although capital values are still depressed. </w:t>
      </w:r>
    </w:p>
    <w:p w14:paraId="7BC59339" w14:textId="0E544680" w:rsidR="0092700E" w:rsidRPr="00B96FC0" w:rsidRDefault="00B1783C" w:rsidP="00E801E2">
      <w:pPr>
        <w:pStyle w:val="ReportNumbering"/>
        <w:rPr>
          <w:rFonts w:cs="Arial"/>
          <w:color w:val="000000"/>
        </w:rPr>
      </w:pPr>
      <w:r w:rsidRPr="7EC88684">
        <w:rPr>
          <w:b/>
          <w:color w:val="000000" w:themeColor="text1"/>
        </w:rPr>
        <w:lastRenderedPageBreak/>
        <w:t xml:space="preserve">Ray Valley Solar Farm </w:t>
      </w:r>
      <w:r w:rsidRPr="7EC88684">
        <w:rPr>
          <w:rFonts w:cs="Arial"/>
          <w:color w:val="000000" w:themeColor="text1"/>
        </w:rPr>
        <w:t xml:space="preserve">– </w:t>
      </w:r>
      <w:r w:rsidR="004A2775" w:rsidRPr="7EC88684">
        <w:rPr>
          <w:rFonts w:cs="Arial"/>
          <w:color w:val="000000" w:themeColor="text1"/>
        </w:rPr>
        <w:t xml:space="preserve">The Council holds </w:t>
      </w:r>
      <w:r w:rsidR="00313EBC">
        <w:rPr>
          <w:rFonts w:cs="Arial"/>
          <w:color w:val="000000" w:themeColor="text1"/>
        </w:rPr>
        <w:t>loans to</w:t>
      </w:r>
      <w:r w:rsidR="004A2775" w:rsidRPr="7EC88684">
        <w:rPr>
          <w:rFonts w:cs="Arial"/>
          <w:color w:val="000000" w:themeColor="text1"/>
        </w:rPr>
        <w:t xml:space="preserve"> Ray Valley Solar Farm of £4 million</w:t>
      </w:r>
      <w:r w:rsidR="0092700E" w:rsidRPr="7EC88684">
        <w:rPr>
          <w:rFonts w:cs="Arial"/>
          <w:color w:val="000000" w:themeColor="text1"/>
        </w:rPr>
        <w:t xml:space="preserve">. </w:t>
      </w:r>
    </w:p>
    <w:p w14:paraId="65ADDC8E" w14:textId="64B3FEC8" w:rsidR="00913671" w:rsidRPr="00D13C66" w:rsidRDefault="0092700E" w:rsidP="00E801E2">
      <w:pPr>
        <w:pStyle w:val="ReportNumbering"/>
        <w:rPr>
          <w:color w:val="000000" w:themeColor="text1"/>
        </w:rPr>
      </w:pPr>
      <w:r w:rsidRPr="51AC68CD">
        <w:rPr>
          <w:b/>
          <w:color w:val="000000" w:themeColor="text1"/>
        </w:rPr>
        <w:t xml:space="preserve">Multi Asset </w:t>
      </w:r>
      <w:r w:rsidR="00F72D3A" w:rsidRPr="51AC68CD">
        <w:rPr>
          <w:b/>
          <w:color w:val="000000" w:themeColor="text1"/>
        </w:rPr>
        <w:t>Funds</w:t>
      </w:r>
      <w:r w:rsidRPr="51AC68CD">
        <w:rPr>
          <w:b/>
          <w:color w:val="000000" w:themeColor="text1"/>
        </w:rPr>
        <w:t xml:space="preserve"> </w:t>
      </w:r>
      <w:r w:rsidR="00BC102C">
        <w:rPr>
          <w:bCs/>
          <w:color w:val="000000" w:themeColor="text1"/>
        </w:rPr>
        <w:t>–</w:t>
      </w:r>
      <w:r>
        <w:rPr>
          <w:color w:val="000000" w:themeColor="text1"/>
        </w:rPr>
        <w:t xml:space="preserve"> </w:t>
      </w:r>
      <w:r w:rsidR="00F33FFD" w:rsidRPr="00D13C66">
        <w:rPr>
          <w:color w:val="000000" w:themeColor="text1"/>
        </w:rPr>
        <w:t>T</w:t>
      </w:r>
      <w:r w:rsidR="002D0973" w:rsidRPr="00D13C66">
        <w:rPr>
          <w:color w:val="000000" w:themeColor="text1"/>
        </w:rPr>
        <w:t>he Council has appointed two fund managers</w:t>
      </w:r>
      <w:r w:rsidR="00D13C66">
        <w:rPr>
          <w:bCs/>
          <w:color w:val="000000" w:themeColor="text1"/>
        </w:rPr>
        <w:t>,</w:t>
      </w:r>
      <w:r w:rsidR="002D0973" w:rsidRPr="00D13C66">
        <w:rPr>
          <w:color w:val="000000" w:themeColor="text1"/>
        </w:rPr>
        <w:t xml:space="preserve"> </w:t>
      </w:r>
      <w:proofErr w:type="gramStart"/>
      <w:r w:rsidR="002D0973" w:rsidRPr="00D13C66">
        <w:rPr>
          <w:color w:val="000000" w:themeColor="text1"/>
        </w:rPr>
        <w:t>Artemis</w:t>
      </w:r>
      <w:proofErr w:type="gramEnd"/>
      <w:r w:rsidR="002D0973" w:rsidRPr="00D13C66">
        <w:rPr>
          <w:color w:val="000000" w:themeColor="text1"/>
        </w:rPr>
        <w:t xml:space="preserve"> and Fidelity</w:t>
      </w:r>
      <w:r w:rsidR="00D13C66">
        <w:rPr>
          <w:bCs/>
          <w:color w:val="000000" w:themeColor="text1"/>
        </w:rPr>
        <w:t>,</w:t>
      </w:r>
      <w:r w:rsidR="002D0973" w:rsidRPr="00D13C66">
        <w:rPr>
          <w:color w:val="000000" w:themeColor="text1"/>
        </w:rPr>
        <w:t xml:space="preserve"> to manage £</w:t>
      </w:r>
      <w:r w:rsidR="002D0973" w:rsidRPr="00D13C66">
        <w:rPr>
          <w:bCs/>
          <w:color w:val="000000" w:themeColor="text1"/>
        </w:rPr>
        <w:t>5</w:t>
      </w:r>
      <w:r w:rsidR="00313EBC" w:rsidRPr="00D13C66">
        <w:rPr>
          <w:bCs/>
          <w:color w:val="000000" w:themeColor="text1"/>
        </w:rPr>
        <w:t xml:space="preserve"> </w:t>
      </w:r>
      <w:r w:rsidR="002D0973" w:rsidRPr="00D13C66">
        <w:rPr>
          <w:bCs/>
          <w:color w:val="000000" w:themeColor="text1"/>
        </w:rPr>
        <w:t>million</w:t>
      </w:r>
      <w:r w:rsidR="002D0973" w:rsidRPr="00D13C66">
        <w:rPr>
          <w:color w:val="000000" w:themeColor="text1"/>
        </w:rPr>
        <w:t xml:space="preserve"> each of the </w:t>
      </w:r>
      <w:r w:rsidR="007E7FA6" w:rsidRPr="00D13C66">
        <w:rPr>
          <w:color w:val="000000" w:themeColor="text1"/>
        </w:rPr>
        <w:t>Council’s</w:t>
      </w:r>
      <w:r w:rsidR="002D0973" w:rsidRPr="00D13C66">
        <w:rPr>
          <w:color w:val="000000" w:themeColor="text1"/>
        </w:rPr>
        <w:t xml:space="preserve"> investments. </w:t>
      </w:r>
      <w:r w:rsidR="00F72D3A" w:rsidRPr="00D13C66">
        <w:rPr>
          <w:color w:val="000000" w:themeColor="text1"/>
        </w:rPr>
        <w:t xml:space="preserve">The funds consist of </w:t>
      </w:r>
      <w:r w:rsidR="00180D1A" w:rsidRPr="00D13C66">
        <w:rPr>
          <w:color w:val="000000" w:themeColor="text1"/>
        </w:rPr>
        <w:t xml:space="preserve">a diverse range of investments including </w:t>
      </w:r>
      <w:r w:rsidR="00F72D3A" w:rsidRPr="00D13C66">
        <w:rPr>
          <w:color w:val="000000" w:themeColor="text1"/>
        </w:rPr>
        <w:t xml:space="preserve">stocks shares and </w:t>
      </w:r>
      <w:r w:rsidR="00180D1A" w:rsidRPr="00D13C66">
        <w:rPr>
          <w:color w:val="000000" w:themeColor="text1"/>
        </w:rPr>
        <w:t>cash</w:t>
      </w:r>
      <w:r w:rsidR="319BC0E4" w:rsidRPr="00D13C66">
        <w:rPr>
          <w:color w:val="000000" w:themeColor="text1"/>
        </w:rPr>
        <w:t>.</w:t>
      </w:r>
      <w:r w:rsidR="00180D1A" w:rsidRPr="00D13C66">
        <w:rPr>
          <w:color w:val="000000" w:themeColor="text1"/>
        </w:rPr>
        <w:t xml:space="preserve"> </w:t>
      </w:r>
      <w:r w:rsidR="0EB5836A" w:rsidRPr="00D13C66">
        <w:rPr>
          <w:color w:val="000000" w:themeColor="text1"/>
        </w:rPr>
        <w:t xml:space="preserve">Whilst financial returns continue to run at around 3-4% the principal value of the fund have been </w:t>
      </w:r>
      <w:r w:rsidR="58B9DB20" w:rsidRPr="00D13C66">
        <w:rPr>
          <w:color w:val="000000" w:themeColor="text1"/>
        </w:rPr>
        <w:t>trading below par, albeit they</w:t>
      </w:r>
      <w:r w:rsidR="00F72D3A" w:rsidRPr="00D13C66">
        <w:rPr>
          <w:color w:val="000000" w:themeColor="text1"/>
        </w:rPr>
        <w:t xml:space="preserve"> </w:t>
      </w:r>
      <w:r w:rsidR="00F33FFD" w:rsidRPr="00D13C66">
        <w:rPr>
          <w:color w:val="000000" w:themeColor="text1"/>
        </w:rPr>
        <w:t xml:space="preserve">are </w:t>
      </w:r>
      <w:r w:rsidR="58B9DB20" w:rsidRPr="00D13C66">
        <w:rPr>
          <w:color w:val="000000" w:themeColor="text1"/>
        </w:rPr>
        <w:t>now showing signs</w:t>
      </w:r>
      <w:r w:rsidR="00F72D3A" w:rsidRPr="00D13C66">
        <w:rPr>
          <w:color w:val="000000" w:themeColor="text1"/>
        </w:rPr>
        <w:t xml:space="preserve"> of </w:t>
      </w:r>
      <w:r w:rsidR="58B9DB20" w:rsidRPr="00D13C66">
        <w:rPr>
          <w:color w:val="000000" w:themeColor="text1"/>
        </w:rPr>
        <w:t>recovery.</w:t>
      </w:r>
      <w:r w:rsidR="00A94804" w:rsidRPr="00D13C66">
        <w:rPr>
          <w:color w:val="000000" w:themeColor="text1"/>
        </w:rPr>
        <w:t xml:space="preserve"> </w:t>
      </w:r>
      <w:r w:rsidR="75349616" w:rsidRPr="00D13C66">
        <w:rPr>
          <w:color w:val="000000" w:themeColor="text1"/>
        </w:rPr>
        <w:t>The</w:t>
      </w:r>
      <w:r w:rsidR="5322A054" w:rsidRPr="00D13C66">
        <w:rPr>
          <w:color w:val="000000" w:themeColor="text1"/>
        </w:rPr>
        <w:t>se funds</w:t>
      </w:r>
      <w:r w:rsidR="00A94804" w:rsidRPr="00D13C66">
        <w:rPr>
          <w:color w:val="000000" w:themeColor="text1"/>
        </w:rPr>
        <w:t xml:space="preserve"> are long term holdings in nature </w:t>
      </w:r>
      <w:r w:rsidR="1F882E7E" w:rsidRPr="00D13C66">
        <w:rPr>
          <w:color w:val="000000" w:themeColor="text1"/>
        </w:rPr>
        <w:t>and</w:t>
      </w:r>
      <w:r w:rsidR="00A94804" w:rsidRPr="00D13C66">
        <w:rPr>
          <w:color w:val="000000" w:themeColor="text1"/>
        </w:rPr>
        <w:t xml:space="preserve"> </w:t>
      </w:r>
      <w:r w:rsidR="00F33FFD" w:rsidRPr="00D13C66">
        <w:rPr>
          <w:color w:val="000000" w:themeColor="text1"/>
        </w:rPr>
        <w:t>the position is</w:t>
      </w:r>
      <w:r w:rsidR="00A94804" w:rsidRPr="00D13C66">
        <w:rPr>
          <w:color w:val="000000" w:themeColor="text1"/>
        </w:rPr>
        <w:t xml:space="preserve"> being monitored.</w:t>
      </w:r>
    </w:p>
    <w:p w14:paraId="59F30E53" w14:textId="1208786C" w:rsidR="00382904" w:rsidRPr="00BC1DCF" w:rsidRDefault="00382904" w:rsidP="00E801E2">
      <w:pPr>
        <w:pStyle w:val="ReportNumbering"/>
        <w:rPr>
          <w:color w:val="000000" w:themeColor="text1"/>
        </w:rPr>
      </w:pPr>
      <w:proofErr w:type="spellStart"/>
      <w:r w:rsidRPr="47F9CD31">
        <w:rPr>
          <w:b/>
          <w:color w:val="000000" w:themeColor="text1"/>
        </w:rPr>
        <w:t>OxWed</w:t>
      </w:r>
      <w:proofErr w:type="spellEnd"/>
      <w:r w:rsidRPr="47F9CD31">
        <w:rPr>
          <w:b/>
          <w:color w:val="000000" w:themeColor="text1"/>
        </w:rPr>
        <w:t xml:space="preserve"> Development </w:t>
      </w:r>
      <w:r w:rsidRPr="00D13C66">
        <w:rPr>
          <w:b/>
          <w:color w:val="000000" w:themeColor="text1"/>
        </w:rPr>
        <w:t xml:space="preserve">– </w:t>
      </w:r>
      <w:r w:rsidRPr="00BC1DCF">
        <w:rPr>
          <w:color w:val="000000" w:themeColor="text1"/>
        </w:rPr>
        <w:t>The Council has made loans of approximately £</w:t>
      </w:r>
      <w:r w:rsidRPr="00BC1DCF">
        <w:rPr>
          <w:bCs/>
          <w:color w:val="000000" w:themeColor="text1"/>
        </w:rPr>
        <w:t>1</w:t>
      </w:r>
      <w:r w:rsidR="00D909FE">
        <w:rPr>
          <w:bCs/>
          <w:color w:val="000000" w:themeColor="text1"/>
        </w:rPr>
        <w:t>3.5</w:t>
      </w:r>
      <w:r w:rsidR="00454091" w:rsidRPr="00BC1DCF">
        <w:rPr>
          <w:color w:val="000000" w:themeColor="text1"/>
        </w:rPr>
        <w:t xml:space="preserve"> </w:t>
      </w:r>
      <w:r w:rsidRPr="00BC1DCF">
        <w:rPr>
          <w:color w:val="000000" w:themeColor="text1"/>
        </w:rPr>
        <w:t>million</w:t>
      </w:r>
      <w:r>
        <w:rPr>
          <w:color w:val="000000" w:themeColor="text1"/>
        </w:rPr>
        <w:t xml:space="preserve"> </w:t>
      </w:r>
      <w:r w:rsidRPr="00BC1DCF">
        <w:rPr>
          <w:color w:val="000000" w:themeColor="text1"/>
        </w:rPr>
        <w:t xml:space="preserve">into its 50/50 Joint venture with Nuffield College which attracts a return of 6.5% per annum. </w:t>
      </w:r>
      <w:r w:rsidR="00913671" w:rsidRPr="00BC1DCF">
        <w:rPr>
          <w:color w:val="000000" w:themeColor="text1"/>
        </w:rPr>
        <w:t xml:space="preserve">Since the Joint Venture has yet to make a </w:t>
      </w:r>
      <w:r w:rsidR="6B87C4CC" w:rsidRPr="00BC1DCF">
        <w:rPr>
          <w:color w:val="000000" w:themeColor="text1"/>
        </w:rPr>
        <w:t>surplus,</w:t>
      </w:r>
      <w:r w:rsidR="00913671" w:rsidRPr="00BC1DCF">
        <w:rPr>
          <w:color w:val="000000" w:themeColor="text1"/>
        </w:rPr>
        <w:t xml:space="preserve"> this interest is accrued rather than paid. </w:t>
      </w:r>
      <w:r w:rsidR="00DE2865">
        <w:rPr>
          <w:bCs/>
          <w:color w:val="000000" w:themeColor="text1"/>
        </w:rPr>
        <w:t xml:space="preserve">As </w:t>
      </w:r>
      <w:proofErr w:type="gramStart"/>
      <w:r w:rsidR="00DE2865">
        <w:rPr>
          <w:bCs/>
          <w:color w:val="000000" w:themeColor="text1"/>
        </w:rPr>
        <w:t>at</w:t>
      </w:r>
      <w:proofErr w:type="gramEnd"/>
      <w:r w:rsidR="00DE2865">
        <w:rPr>
          <w:bCs/>
          <w:color w:val="000000" w:themeColor="text1"/>
        </w:rPr>
        <w:t xml:space="preserve"> 31</w:t>
      </w:r>
      <w:r w:rsidR="00DE2865" w:rsidRPr="00DE2865">
        <w:rPr>
          <w:bCs/>
          <w:color w:val="000000" w:themeColor="text1"/>
          <w:vertAlign w:val="superscript"/>
        </w:rPr>
        <w:t>st</w:t>
      </w:r>
      <w:r w:rsidR="00DE2865">
        <w:rPr>
          <w:bCs/>
          <w:color w:val="000000" w:themeColor="text1"/>
        </w:rPr>
        <w:t xml:space="preserve"> March 2025</w:t>
      </w:r>
      <w:r w:rsidR="00913671" w:rsidRPr="00BC1DCF">
        <w:rPr>
          <w:color w:val="000000" w:themeColor="text1"/>
        </w:rPr>
        <w:t xml:space="preserve"> the total of accrued interest </w:t>
      </w:r>
      <w:r w:rsidR="00DE2865">
        <w:rPr>
          <w:bCs/>
          <w:color w:val="000000" w:themeColor="text1"/>
        </w:rPr>
        <w:t>will be</w:t>
      </w:r>
      <w:r w:rsidR="00913671" w:rsidRPr="00BC1DCF">
        <w:rPr>
          <w:bCs/>
          <w:color w:val="000000" w:themeColor="text1"/>
        </w:rPr>
        <w:t xml:space="preserve"> </w:t>
      </w:r>
      <w:r w:rsidR="00F41FCE">
        <w:rPr>
          <w:bCs/>
          <w:color w:val="000000" w:themeColor="text1"/>
        </w:rPr>
        <w:t xml:space="preserve">approximately </w:t>
      </w:r>
      <w:r w:rsidR="004A2775" w:rsidRPr="00BC1DCF">
        <w:rPr>
          <w:bCs/>
          <w:color w:val="000000" w:themeColor="text1"/>
        </w:rPr>
        <w:t>£</w:t>
      </w:r>
      <w:r w:rsidR="005D102D">
        <w:rPr>
          <w:bCs/>
          <w:color w:val="000000" w:themeColor="text1"/>
        </w:rPr>
        <w:t>7.6</w:t>
      </w:r>
      <w:r w:rsidR="004A2775" w:rsidRPr="00BC1DCF">
        <w:rPr>
          <w:bCs/>
          <w:color w:val="000000" w:themeColor="text1"/>
        </w:rPr>
        <w:t xml:space="preserve"> million.</w:t>
      </w:r>
      <w:r w:rsidR="004A2775" w:rsidRPr="00BC1DCF">
        <w:rPr>
          <w:color w:val="000000" w:themeColor="text1"/>
        </w:rPr>
        <w:t xml:space="preserve"> The joint venture is in the process of applying for planning </w:t>
      </w:r>
      <w:r w:rsidR="00792100" w:rsidRPr="00BC1DCF">
        <w:rPr>
          <w:color w:val="000000" w:themeColor="text1"/>
        </w:rPr>
        <w:t xml:space="preserve">permission to develop </w:t>
      </w:r>
      <w:r w:rsidR="004A2775" w:rsidRPr="00BC1DCF">
        <w:rPr>
          <w:color w:val="000000" w:themeColor="text1"/>
        </w:rPr>
        <w:t xml:space="preserve">the site </w:t>
      </w:r>
      <w:r w:rsidR="06384B3F" w:rsidRPr="00BC1DCF">
        <w:rPr>
          <w:color w:val="000000" w:themeColor="text1"/>
        </w:rPr>
        <w:t xml:space="preserve">and subject </w:t>
      </w:r>
      <w:r w:rsidR="242FA309" w:rsidRPr="00BC1DCF">
        <w:rPr>
          <w:color w:val="000000" w:themeColor="text1"/>
        </w:rPr>
        <w:t xml:space="preserve">to this, </w:t>
      </w:r>
      <w:r w:rsidR="5FA85995" w:rsidRPr="00BC1DCF">
        <w:rPr>
          <w:color w:val="000000" w:themeColor="text1"/>
        </w:rPr>
        <w:t xml:space="preserve">will </w:t>
      </w:r>
      <w:r w:rsidR="3332F0C8" w:rsidRPr="00BC1DCF">
        <w:rPr>
          <w:color w:val="000000" w:themeColor="text1"/>
        </w:rPr>
        <w:t xml:space="preserve">then </w:t>
      </w:r>
      <w:r w:rsidR="5FA85995" w:rsidRPr="00BC1DCF">
        <w:rPr>
          <w:color w:val="000000" w:themeColor="text1"/>
        </w:rPr>
        <w:t>look to secure a development partner, or partners</w:t>
      </w:r>
      <w:r w:rsidR="004A2775" w:rsidRPr="00BC1DCF">
        <w:rPr>
          <w:color w:val="000000" w:themeColor="text1"/>
        </w:rPr>
        <w:t>. At this point the Council</w:t>
      </w:r>
      <w:r w:rsidR="74BA9167" w:rsidRPr="00BC1DCF">
        <w:rPr>
          <w:color w:val="000000" w:themeColor="text1"/>
        </w:rPr>
        <w:t>’</w:t>
      </w:r>
      <w:r w:rsidR="004A2775" w:rsidRPr="00BC1DCF">
        <w:rPr>
          <w:color w:val="000000" w:themeColor="text1"/>
        </w:rPr>
        <w:t xml:space="preserve">s investment and accrued interest will be paid together with a proportion of the profits from the sale. The value </w:t>
      </w:r>
      <w:r w:rsidR="004D515A" w:rsidRPr="00BC1DCF">
        <w:rPr>
          <w:color w:val="000000" w:themeColor="text1"/>
        </w:rPr>
        <w:t xml:space="preserve">and timing </w:t>
      </w:r>
      <w:r w:rsidR="004A2775" w:rsidRPr="00BC1DCF">
        <w:rPr>
          <w:color w:val="000000" w:themeColor="text1"/>
        </w:rPr>
        <w:t xml:space="preserve">of profits </w:t>
      </w:r>
      <w:r w:rsidR="004D515A" w:rsidRPr="00BC1DCF">
        <w:rPr>
          <w:color w:val="000000" w:themeColor="text1"/>
        </w:rPr>
        <w:t>at this point are uncertain although suitable budget assumptions have been made within the MTFS.</w:t>
      </w:r>
      <w:r w:rsidR="004A2775" w:rsidRPr="00BC1DCF">
        <w:rPr>
          <w:color w:val="000000" w:themeColor="text1"/>
        </w:rPr>
        <w:t xml:space="preserve"> </w:t>
      </w:r>
      <w:r w:rsidR="00171330" w:rsidRPr="00BC1DCF">
        <w:rPr>
          <w:color w:val="000000" w:themeColor="text1"/>
        </w:rPr>
        <w:t xml:space="preserve"> </w:t>
      </w:r>
    </w:p>
    <w:p w14:paraId="5C795EB7" w14:textId="00933F39" w:rsidR="00BF0C29" w:rsidRPr="00631578" w:rsidRDefault="2DF77102" w:rsidP="00E801E2">
      <w:pPr>
        <w:pStyle w:val="ReportNumbering"/>
        <w:rPr>
          <w:b/>
          <w:bCs/>
          <w:color w:val="000000" w:themeColor="text1"/>
        </w:rPr>
      </w:pPr>
      <w:r w:rsidRPr="6F9FB908">
        <w:rPr>
          <w:b/>
          <w:bCs/>
          <w:color w:val="000000" w:themeColor="text1"/>
        </w:rPr>
        <w:t xml:space="preserve">Housing Company – </w:t>
      </w:r>
      <w:r w:rsidRPr="6F9FB908">
        <w:rPr>
          <w:color w:val="000000" w:themeColor="text1"/>
        </w:rPr>
        <w:t xml:space="preserve">The Council provides </w:t>
      </w:r>
      <w:r w:rsidR="059DFE09" w:rsidRPr="6F9FB908">
        <w:rPr>
          <w:color w:val="000000" w:themeColor="text1"/>
        </w:rPr>
        <w:t>subsidy control</w:t>
      </w:r>
      <w:r w:rsidRPr="6F9FB908">
        <w:rPr>
          <w:color w:val="000000" w:themeColor="text1"/>
        </w:rPr>
        <w:t xml:space="preserve"> compliant loans to its wholly owned company Oxford City Housing Ltd </w:t>
      </w:r>
      <w:r w:rsidR="00687451">
        <w:rPr>
          <w:color w:val="000000" w:themeColor="text1"/>
        </w:rPr>
        <w:t xml:space="preserve">(which trades as </w:t>
      </w:r>
      <w:proofErr w:type="spellStart"/>
      <w:r w:rsidR="00687451">
        <w:rPr>
          <w:color w:val="000000" w:themeColor="text1"/>
        </w:rPr>
        <w:t>OxPlace</w:t>
      </w:r>
      <w:proofErr w:type="spellEnd"/>
      <w:r w:rsidR="00687451">
        <w:rPr>
          <w:color w:val="000000" w:themeColor="text1"/>
        </w:rPr>
        <w:t xml:space="preserve">) </w:t>
      </w:r>
      <w:r w:rsidRPr="6F9FB908">
        <w:rPr>
          <w:color w:val="000000" w:themeColor="text1"/>
        </w:rPr>
        <w:t>and makes a return above that which it borrows from PWLB. The margi</w:t>
      </w:r>
      <w:r w:rsidR="198A3CF6" w:rsidRPr="6F9FB908">
        <w:rPr>
          <w:color w:val="000000" w:themeColor="text1"/>
        </w:rPr>
        <w:t xml:space="preserve">nal return is currently </w:t>
      </w:r>
      <w:r w:rsidR="04413C44" w:rsidRPr="6F9FB908">
        <w:rPr>
          <w:color w:val="000000" w:themeColor="text1"/>
        </w:rPr>
        <w:t>3</w:t>
      </w:r>
      <w:r w:rsidR="198A3CF6" w:rsidRPr="6F9FB908">
        <w:rPr>
          <w:color w:val="000000" w:themeColor="text1"/>
        </w:rPr>
        <w:t>.20%</w:t>
      </w:r>
      <w:r w:rsidR="270DF72B" w:rsidRPr="6F9FB908">
        <w:rPr>
          <w:color w:val="000000" w:themeColor="text1"/>
        </w:rPr>
        <w:t xml:space="preserve"> for development company loans</w:t>
      </w:r>
      <w:r w:rsidR="43CEEF05" w:rsidRPr="6F9FB908">
        <w:rPr>
          <w:color w:val="000000" w:themeColor="text1"/>
        </w:rPr>
        <w:t xml:space="preserve">. In </w:t>
      </w:r>
      <w:r w:rsidR="63974093" w:rsidRPr="6F9FB908">
        <w:rPr>
          <w:color w:val="000000" w:themeColor="text1"/>
        </w:rPr>
        <w:t>2024/25</w:t>
      </w:r>
      <w:r w:rsidR="43CEEF05" w:rsidRPr="6F9FB908">
        <w:rPr>
          <w:color w:val="000000" w:themeColor="text1"/>
        </w:rPr>
        <w:t xml:space="preserve"> Council agreed to purchase all properties held within OCH(I)L and transfer them to its housing revenue account. </w:t>
      </w:r>
      <w:r w:rsidR="2A2EC726" w:rsidRPr="6F9FB908">
        <w:rPr>
          <w:color w:val="000000" w:themeColor="text1"/>
        </w:rPr>
        <w:t xml:space="preserve">All loans within the company </w:t>
      </w:r>
      <w:r w:rsidR="58763973" w:rsidRPr="6F9FB908">
        <w:rPr>
          <w:color w:val="000000" w:themeColor="text1"/>
        </w:rPr>
        <w:t>have</w:t>
      </w:r>
      <w:r w:rsidR="2A2EC726" w:rsidRPr="6F9FB908">
        <w:rPr>
          <w:color w:val="000000" w:themeColor="text1"/>
        </w:rPr>
        <w:t xml:space="preserve"> now been repaid to the Council and no further loans are assumed to be </w:t>
      </w:r>
      <w:r w:rsidR="44F5DD26" w:rsidRPr="6F9FB908">
        <w:rPr>
          <w:color w:val="000000" w:themeColor="text1"/>
        </w:rPr>
        <w:t>advanced</w:t>
      </w:r>
      <w:r w:rsidR="2A2EC726" w:rsidRPr="6F9FB908">
        <w:rPr>
          <w:color w:val="000000" w:themeColor="text1"/>
        </w:rPr>
        <w:t xml:space="preserve"> to OCH(I)L </w:t>
      </w:r>
      <w:r w:rsidR="04413C44" w:rsidRPr="6F9FB908">
        <w:rPr>
          <w:color w:val="000000" w:themeColor="text1"/>
        </w:rPr>
        <w:t>In addition to interest returns the company makes dividend returns to the council which are estimated at around £</w:t>
      </w:r>
      <w:r w:rsidR="70A5B0F4" w:rsidRPr="6F9FB908">
        <w:rPr>
          <w:color w:val="000000" w:themeColor="text1"/>
        </w:rPr>
        <w:t>8</w:t>
      </w:r>
      <w:r w:rsidR="21CB9DC8" w:rsidRPr="6F9FB908">
        <w:rPr>
          <w:color w:val="000000" w:themeColor="text1"/>
        </w:rPr>
        <w:t xml:space="preserve"> </w:t>
      </w:r>
      <w:r w:rsidR="04413C44" w:rsidRPr="6F9FB908">
        <w:rPr>
          <w:color w:val="000000" w:themeColor="text1"/>
        </w:rPr>
        <w:t xml:space="preserve">million over the </w:t>
      </w:r>
      <w:r w:rsidR="6B38F6D2" w:rsidRPr="6F9FB908">
        <w:rPr>
          <w:color w:val="000000" w:themeColor="text1"/>
        </w:rPr>
        <w:t>4-year</w:t>
      </w:r>
      <w:r w:rsidR="04413C44" w:rsidRPr="6F9FB908">
        <w:rPr>
          <w:color w:val="000000" w:themeColor="text1"/>
        </w:rPr>
        <w:t xml:space="preserve"> </w:t>
      </w:r>
      <w:r w:rsidR="270DF72B" w:rsidRPr="6F9FB908">
        <w:rPr>
          <w:color w:val="000000" w:themeColor="text1"/>
        </w:rPr>
        <w:t>MTFS</w:t>
      </w:r>
      <w:r w:rsidR="1DDAA0DC" w:rsidRPr="6F9FB908">
        <w:rPr>
          <w:color w:val="000000" w:themeColor="text1"/>
        </w:rPr>
        <w:t>.</w:t>
      </w:r>
      <w:r w:rsidR="1DDAA0DC" w:rsidRPr="6F9FB908">
        <w:rPr>
          <w:b/>
          <w:bCs/>
          <w:color w:val="000000" w:themeColor="text1"/>
        </w:rPr>
        <w:t xml:space="preserve"> </w:t>
      </w:r>
      <w:r w:rsidR="270DF72B" w:rsidRPr="6F9FB908">
        <w:rPr>
          <w:b/>
          <w:bCs/>
          <w:color w:val="000000" w:themeColor="text1"/>
        </w:rPr>
        <w:t xml:space="preserve"> </w:t>
      </w:r>
    </w:p>
    <w:p w14:paraId="37338725" w14:textId="3C64140A" w:rsidR="00382904" w:rsidRPr="00B96FC0" w:rsidRDefault="00382904" w:rsidP="00E801E2">
      <w:pPr>
        <w:pStyle w:val="ReportNumbering"/>
        <w:rPr>
          <w:rFonts w:cs="Arial"/>
        </w:rPr>
      </w:pPr>
      <w:r w:rsidRPr="183423D1">
        <w:rPr>
          <w:rFonts w:cs="Arial"/>
          <w:b/>
        </w:rPr>
        <w:t>Inflation</w:t>
      </w:r>
      <w:r w:rsidRPr="183423D1">
        <w:rPr>
          <w:rFonts w:cs="Arial"/>
        </w:rPr>
        <w:t xml:space="preserve"> –Most budgets are cash limi</w:t>
      </w:r>
      <w:r w:rsidR="00603CCF" w:rsidRPr="183423D1">
        <w:rPr>
          <w:rFonts w:cs="Arial"/>
        </w:rPr>
        <w:t xml:space="preserve">ted. </w:t>
      </w:r>
      <w:r w:rsidR="00A94804" w:rsidRPr="183423D1">
        <w:rPr>
          <w:rFonts w:cs="Arial"/>
        </w:rPr>
        <w:t xml:space="preserve"> The most significant impact is on materials purchased by Oxford Direct Services in respect of repairs and maintenanc</w:t>
      </w:r>
      <w:r w:rsidR="00962190" w:rsidRPr="183423D1">
        <w:rPr>
          <w:rFonts w:cs="Arial"/>
        </w:rPr>
        <w:t>e and the council</w:t>
      </w:r>
      <w:r w:rsidR="00FD5271" w:rsidRPr="183423D1">
        <w:rPr>
          <w:rFonts w:cs="Arial"/>
        </w:rPr>
        <w:t>’</w:t>
      </w:r>
      <w:r w:rsidR="00962190" w:rsidRPr="183423D1">
        <w:rPr>
          <w:rFonts w:cs="Arial"/>
        </w:rPr>
        <w:t>s capital programme</w:t>
      </w:r>
      <w:r w:rsidR="00146B05" w:rsidRPr="183423D1">
        <w:rPr>
          <w:rFonts w:cs="Arial"/>
        </w:rPr>
        <w:t xml:space="preserve">, for which </w:t>
      </w:r>
      <w:r w:rsidR="004D515A" w:rsidRPr="183423D1">
        <w:rPr>
          <w:rFonts w:cs="Arial"/>
        </w:rPr>
        <w:t xml:space="preserve">some </w:t>
      </w:r>
      <w:r w:rsidR="00146B05" w:rsidRPr="183423D1">
        <w:rPr>
          <w:rFonts w:cs="Arial"/>
        </w:rPr>
        <w:t>budgetary provision has been made</w:t>
      </w:r>
      <w:r w:rsidR="79DBB8F9" w:rsidRPr="183423D1">
        <w:rPr>
          <w:rFonts w:cs="Arial"/>
        </w:rPr>
        <w:t xml:space="preserve">. </w:t>
      </w:r>
    </w:p>
    <w:p w14:paraId="4ED46929" w14:textId="1C2B5946" w:rsidR="00382904" w:rsidRPr="00B96FC0" w:rsidRDefault="00382904" w:rsidP="00E801E2">
      <w:pPr>
        <w:pStyle w:val="ReportNumbering"/>
        <w:rPr>
          <w:rFonts w:cs="Arial"/>
        </w:rPr>
      </w:pPr>
      <w:r w:rsidRPr="27D846A4">
        <w:rPr>
          <w:rFonts w:cs="Arial"/>
          <w:b/>
        </w:rPr>
        <w:t>Pay Assumptions</w:t>
      </w:r>
      <w:r w:rsidRPr="27D846A4">
        <w:rPr>
          <w:rFonts w:cs="Arial"/>
        </w:rPr>
        <w:t xml:space="preserve"> – </w:t>
      </w:r>
      <w:r w:rsidR="00A41B67" w:rsidRPr="27D846A4">
        <w:rPr>
          <w:rFonts w:cs="Arial"/>
        </w:rPr>
        <w:t xml:space="preserve">The two </w:t>
      </w:r>
      <w:proofErr w:type="gramStart"/>
      <w:r w:rsidR="00A41B67" w:rsidRPr="27D846A4">
        <w:rPr>
          <w:rFonts w:cs="Arial"/>
        </w:rPr>
        <w:t>year</w:t>
      </w:r>
      <w:proofErr w:type="gramEnd"/>
      <w:r w:rsidR="00A41B67" w:rsidRPr="27D846A4">
        <w:rPr>
          <w:rFonts w:cs="Arial"/>
        </w:rPr>
        <w:t xml:space="preserve"> pay deal agreed by the Council and unions in 2022 expires on 1</w:t>
      </w:r>
      <w:r w:rsidR="00792100" w:rsidRPr="27D846A4">
        <w:rPr>
          <w:rFonts w:cs="Arial"/>
          <w:vertAlign w:val="superscript"/>
        </w:rPr>
        <w:t>st</w:t>
      </w:r>
      <w:r w:rsidR="00A41B67" w:rsidRPr="27D846A4">
        <w:rPr>
          <w:rFonts w:cs="Arial"/>
          <w:vertAlign w:val="superscript"/>
        </w:rPr>
        <w:t xml:space="preserve"> </w:t>
      </w:r>
      <w:r w:rsidR="00A41B67" w:rsidRPr="27D846A4">
        <w:rPr>
          <w:rFonts w:cs="Arial"/>
        </w:rPr>
        <w:t>April 202</w:t>
      </w:r>
      <w:r w:rsidR="4CED0642" w:rsidRPr="27D846A4">
        <w:rPr>
          <w:rFonts w:cs="Arial"/>
        </w:rPr>
        <w:t xml:space="preserve">6. For 2025-26 pay increases were agreed at 3% </w:t>
      </w:r>
      <w:r w:rsidR="4BD25315" w:rsidRPr="27D846A4">
        <w:rPr>
          <w:rFonts w:cs="Arial"/>
        </w:rPr>
        <w:t>following</w:t>
      </w:r>
      <w:r w:rsidR="4CED0642" w:rsidRPr="27D846A4">
        <w:rPr>
          <w:rFonts w:cs="Arial"/>
        </w:rPr>
        <w:t xml:space="preserve"> 6.5% agreed for 2024-25. Inflationary increases have </w:t>
      </w:r>
      <w:r w:rsidR="2DEE4077" w:rsidRPr="27D846A4">
        <w:rPr>
          <w:rFonts w:cs="Arial"/>
        </w:rPr>
        <w:t>been assumed for the later year</w:t>
      </w:r>
      <w:r w:rsidR="00687451">
        <w:rPr>
          <w:rFonts w:cs="Arial"/>
        </w:rPr>
        <w:t>s</w:t>
      </w:r>
      <w:r w:rsidR="2DEE4077" w:rsidRPr="27D846A4">
        <w:rPr>
          <w:rFonts w:cs="Arial"/>
        </w:rPr>
        <w:t xml:space="preserve"> of the </w:t>
      </w:r>
      <w:r w:rsidR="2DEE4077" w:rsidRPr="5D84F3F1">
        <w:rPr>
          <w:rFonts w:cs="Arial"/>
        </w:rPr>
        <w:t>MTF</w:t>
      </w:r>
      <w:r w:rsidR="465B0D4E" w:rsidRPr="5D84F3F1">
        <w:rPr>
          <w:rFonts w:cs="Arial"/>
        </w:rPr>
        <w:t>S</w:t>
      </w:r>
      <w:r w:rsidR="00A41B67" w:rsidRPr="27D846A4">
        <w:rPr>
          <w:rFonts w:cs="Arial"/>
        </w:rPr>
        <w:t xml:space="preserve">. </w:t>
      </w:r>
      <w:r w:rsidR="006F05C8" w:rsidRPr="27D846A4">
        <w:rPr>
          <w:rFonts w:cs="Arial"/>
        </w:rPr>
        <w:t xml:space="preserve">  </w:t>
      </w:r>
    </w:p>
    <w:p w14:paraId="0A11E9BF" w14:textId="2032D56B" w:rsidR="00382904" w:rsidRPr="00B96FC0" w:rsidRDefault="2DF77102" w:rsidP="00E801E2">
      <w:pPr>
        <w:pStyle w:val="ReportNumbering"/>
      </w:pPr>
      <w:r w:rsidRPr="60EA432F">
        <w:rPr>
          <w:b/>
          <w:bCs/>
        </w:rPr>
        <w:t>Capital Financing</w:t>
      </w:r>
      <w:r>
        <w:t xml:space="preserve"> - Capital financing for the draft Capital Programme is detailed in Section D. </w:t>
      </w:r>
      <w:r w:rsidR="4FFF3742">
        <w:t>Given the budgetary pressures experienced from the Council no revenue contributions have been assumed to finance capital which is largely funded by borrowing, the revenue implications of which have been</w:t>
      </w:r>
      <w:r w:rsidR="11227107">
        <w:t xml:space="preserve"> included within the MTFS</w:t>
      </w:r>
      <w:r w:rsidR="20C9C584">
        <w:t>.</w:t>
      </w:r>
      <w:r w:rsidR="4FFF3742">
        <w:t xml:space="preserve"> </w:t>
      </w:r>
    </w:p>
    <w:p w14:paraId="587256A0" w14:textId="77407FC9" w:rsidR="004217F0" w:rsidRDefault="004217F0" w:rsidP="00E801E2">
      <w:pPr>
        <w:pStyle w:val="ReportNumbering"/>
      </w:pPr>
      <w:r w:rsidRPr="6F9FB908">
        <w:rPr>
          <w:b/>
          <w:bCs/>
        </w:rPr>
        <w:t>Neighbourhood Community Infrastructure Levy (NCIL)</w:t>
      </w:r>
      <w:r>
        <w:t xml:space="preserve"> </w:t>
      </w:r>
      <w:r w:rsidR="004B38E1">
        <w:t>- In</w:t>
      </w:r>
      <w:r>
        <w:t xml:space="preserve"> line with CIL regulations 15% of CIL received in unparished areas of the city, which do not have an adopted neighbourhood plan, are retained by the city council for allocation. This money is for the provision, improvement, replacement, </w:t>
      </w:r>
      <w:proofErr w:type="gramStart"/>
      <w:r>
        <w:t>operation</w:t>
      </w:r>
      <w:proofErr w:type="gramEnd"/>
      <w:r>
        <w:t xml:space="preserve"> or maintenance of infrastructure; or anything else that is concerned with addressing the demands that development places on an area. The City Council </w:t>
      </w:r>
      <w:r w:rsidR="005D63FD">
        <w:t xml:space="preserve">plans to use </w:t>
      </w:r>
      <w:r w:rsidR="47FD2814">
        <w:t>£200K of thi</w:t>
      </w:r>
      <w:r w:rsidR="005D63FD">
        <w:t xml:space="preserve">s NCIL to </w:t>
      </w:r>
      <w:r w:rsidR="5912C87B">
        <w:t>fund voluntary sector grants</w:t>
      </w:r>
      <w:r w:rsidR="00687451">
        <w:t>, which are of benefit to neighbourhoods throughout the City</w:t>
      </w:r>
      <w:r w:rsidR="5912C87B">
        <w:t xml:space="preserve">. </w:t>
      </w:r>
    </w:p>
    <w:p w14:paraId="670B5462" w14:textId="77777777" w:rsidR="00687451" w:rsidRPr="00B96FC0" w:rsidRDefault="00687451" w:rsidP="00344269">
      <w:pPr>
        <w:pStyle w:val="ListParagraph"/>
        <w:ind w:left="360"/>
      </w:pPr>
    </w:p>
    <w:p w14:paraId="13D8002D" w14:textId="14D33DA5" w:rsidR="3D945C76" w:rsidRDefault="3D945C76" w:rsidP="00E801E2">
      <w:pPr>
        <w:pStyle w:val="ReportNumbering"/>
      </w:pPr>
      <w:r w:rsidRPr="6F9FB908">
        <w:rPr>
          <w:b/>
          <w:bCs/>
        </w:rPr>
        <w:t xml:space="preserve">Net cost of Housing Benefits </w:t>
      </w:r>
      <w:r>
        <w:t xml:space="preserve">– From 1-4-2025 </w:t>
      </w:r>
      <w:r w:rsidR="37230B4E">
        <w:t xml:space="preserve">most </w:t>
      </w:r>
      <w:r w:rsidR="3638CD75">
        <w:t xml:space="preserve">households currently claiming housing benefit will be migrated to claiming household costs through universal credit. </w:t>
      </w:r>
      <w:r w:rsidR="0E3CC780">
        <w:t xml:space="preserve">The council will continue to administer the council tax reduction scheme </w:t>
      </w:r>
      <w:proofErr w:type="gramStart"/>
      <w:r w:rsidR="0E3CC780">
        <w:t>and also</w:t>
      </w:r>
      <w:proofErr w:type="gramEnd"/>
      <w:r w:rsidR="0E3CC780">
        <w:t xml:space="preserve"> some specific elements</w:t>
      </w:r>
      <w:r w:rsidR="6A5B8482">
        <w:t xml:space="preserve"> of housing benefit such as </w:t>
      </w:r>
      <w:r w:rsidR="00030608">
        <w:t xml:space="preserve">payments in respect of </w:t>
      </w:r>
      <w:r w:rsidR="6A5B8482">
        <w:t>supported accommodation</w:t>
      </w:r>
      <w:r w:rsidR="70708505">
        <w:t xml:space="preserve"> will be paid by the </w:t>
      </w:r>
      <w:r w:rsidR="6A5B8482">
        <w:t xml:space="preserve">authority. </w:t>
      </w:r>
      <w:r w:rsidR="49B75F3E">
        <w:t>Whilst</w:t>
      </w:r>
      <w:r w:rsidR="697916A8">
        <w:t xml:space="preserve"> most housing benefit expenditure is reimbursed to </w:t>
      </w:r>
      <w:r w:rsidR="4AF0C9E6">
        <w:t>the</w:t>
      </w:r>
      <w:r w:rsidR="697916A8">
        <w:t xml:space="preserve"> authority </w:t>
      </w:r>
      <w:r w:rsidR="09CF6527">
        <w:t xml:space="preserve">in full </w:t>
      </w:r>
      <w:r w:rsidR="697916A8">
        <w:t>by way of housing subsidy</w:t>
      </w:r>
      <w:r w:rsidR="7276EC77">
        <w:t>,</w:t>
      </w:r>
      <w:r w:rsidR="697916A8">
        <w:t xml:space="preserve"> where supported accommodation is not provided by a registered provider</w:t>
      </w:r>
      <w:r w:rsidR="4287981A">
        <w:t>,</w:t>
      </w:r>
      <w:r w:rsidR="697916A8">
        <w:t xml:space="preserve"> housing subsidy is </w:t>
      </w:r>
      <w:r w:rsidR="47C5557C">
        <w:t>capped</w:t>
      </w:r>
      <w:r w:rsidR="697916A8">
        <w:t>. Th</w:t>
      </w:r>
      <w:r w:rsidR="303B977E">
        <w:t xml:space="preserve">ere is a </w:t>
      </w:r>
      <w:r w:rsidR="2322E05B">
        <w:t>financial</w:t>
      </w:r>
      <w:r w:rsidR="303B977E">
        <w:t xml:space="preserve"> pressure of </w:t>
      </w:r>
      <w:r w:rsidR="181C186B">
        <w:t>approximately</w:t>
      </w:r>
      <w:r w:rsidR="303B977E">
        <w:t xml:space="preserve"> £800k per annum in the current </w:t>
      </w:r>
      <w:proofErr w:type="spellStart"/>
      <w:r w:rsidR="303B977E">
        <w:t>years</w:t>
      </w:r>
      <w:proofErr w:type="spellEnd"/>
      <w:r w:rsidR="303B977E">
        <w:t xml:space="preserve"> budget and it is anticipated that this will continue and </w:t>
      </w:r>
      <w:r w:rsidR="4677AD8E">
        <w:t>consequently</w:t>
      </w:r>
      <w:r w:rsidR="303B977E">
        <w:t xml:space="preserve"> this has been built in</w:t>
      </w:r>
      <w:r w:rsidR="2F17FFE8">
        <w:t xml:space="preserve">to the councils MTFS. </w:t>
      </w:r>
      <w:r w:rsidR="697916A8">
        <w:t xml:space="preserve"> </w:t>
      </w:r>
      <w:r w:rsidR="6A5B8482">
        <w:t xml:space="preserve"> </w:t>
      </w:r>
      <w:r w:rsidR="0E3CC780">
        <w:t xml:space="preserve"> </w:t>
      </w:r>
    </w:p>
    <w:p w14:paraId="5FF15112" w14:textId="4CDD5B03" w:rsidR="6CC85B71" w:rsidRPr="00A37BBD" w:rsidRDefault="6CC85B71" w:rsidP="6CC85B71">
      <w:pPr>
        <w:pStyle w:val="ListParagraph"/>
        <w:ind w:hanging="786"/>
      </w:pPr>
    </w:p>
    <w:p w14:paraId="372287E4" w14:textId="5743E19F" w:rsidR="00CA6784" w:rsidRPr="00A37BBD" w:rsidRDefault="004C7192" w:rsidP="00844457">
      <w:pPr>
        <w:ind w:left="567" w:right="386" w:hanging="567"/>
        <w:rPr>
          <w:rFonts w:cs="Arial"/>
          <w:b/>
        </w:rPr>
      </w:pPr>
      <w:r w:rsidRPr="00A37BBD">
        <w:rPr>
          <w:rFonts w:cs="Arial"/>
          <w:b/>
        </w:rPr>
        <w:t>Efficiencies</w:t>
      </w:r>
      <w:r w:rsidR="00792100" w:rsidRPr="00A37BBD">
        <w:rPr>
          <w:rFonts w:cs="Arial"/>
          <w:b/>
        </w:rPr>
        <w:t xml:space="preserve"> </w:t>
      </w:r>
    </w:p>
    <w:p w14:paraId="74581EC9" w14:textId="65E2937F" w:rsidR="005F15AB" w:rsidRPr="00A37BBD" w:rsidRDefault="004F54D1" w:rsidP="00E801E2">
      <w:pPr>
        <w:pStyle w:val="ReportNumbering"/>
        <w:rPr>
          <w:rFonts w:cs="Arial"/>
        </w:rPr>
      </w:pPr>
      <w:r w:rsidRPr="00A37BBD">
        <w:rPr>
          <w:rFonts w:cs="Arial"/>
        </w:rPr>
        <w:t xml:space="preserve">Additional </w:t>
      </w:r>
      <w:r w:rsidR="00B976BC" w:rsidRPr="00A37BBD">
        <w:rPr>
          <w:rFonts w:cs="Arial"/>
        </w:rPr>
        <w:t>Efficiencies</w:t>
      </w:r>
      <w:r w:rsidR="005F15AB" w:rsidRPr="00A37BBD">
        <w:rPr>
          <w:rFonts w:cs="Arial"/>
        </w:rPr>
        <w:t xml:space="preserve"> totalling </w:t>
      </w:r>
      <w:r w:rsidR="00315255" w:rsidRPr="00A37BBD">
        <w:rPr>
          <w:rFonts w:cs="Arial"/>
        </w:rPr>
        <w:t>£</w:t>
      </w:r>
      <w:r w:rsidR="00A37BBD" w:rsidRPr="00A37BBD">
        <w:rPr>
          <w:rFonts w:cs="Arial"/>
        </w:rPr>
        <w:t>3</w:t>
      </w:r>
      <w:r w:rsidR="00844457" w:rsidRPr="00A37BBD">
        <w:rPr>
          <w:rFonts w:cs="Arial"/>
        </w:rPr>
        <w:t>.</w:t>
      </w:r>
      <w:r w:rsidR="00A37BBD" w:rsidRPr="00A37BBD">
        <w:rPr>
          <w:rFonts w:cs="Arial"/>
        </w:rPr>
        <w:t>8</w:t>
      </w:r>
      <w:r w:rsidR="00315255" w:rsidRPr="00A37BBD">
        <w:rPr>
          <w:rFonts w:cs="Arial"/>
        </w:rPr>
        <w:t xml:space="preserve"> million</w:t>
      </w:r>
      <w:r w:rsidR="005F15AB" w:rsidRPr="00A37BBD">
        <w:rPr>
          <w:rFonts w:cs="Arial"/>
        </w:rPr>
        <w:t xml:space="preserve"> are estimated </w:t>
      </w:r>
      <w:r w:rsidR="00EF73F6" w:rsidRPr="00A37BBD">
        <w:rPr>
          <w:rFonts w:cs="Arial"/>
        </w:rPr>
        <w:t>from 202</w:t>
      </w:r>
      <w:r w:rsidR="00A37BBD" w:rsidRPr="00A37BBD">
        <w:rPr>
          <w:rFonts w:cs="Arial"/>
        </w:rPr>
        <w:t>8</w:t>
      </w:r>
      <w:r w:rsidR="00844457" w:rsidRPr="00A37BBD">
        <w:rPr>
          <w:rFonts w:cs="Arial"/>
        </w:rPr>
        <w:t>-2</w:t>
      </w:r>
      <w:r w:rsidR="00A37BBD" w:rsidRPr="00A37BBD">
        <w:rPr>
          <w:rFonts w:cs="Arial"/>
        </w:rPr>
        <w:t>9</w:t>
      </w:r>
      <w:r w:rsidR="00EF73F6" w:rsidRPr="00A37BBD">
        <w:rPr>
          <w:rFonts w:cs="Arial"/>
        </w:rPr>
        <w:t xml:space="preserve"> </w:t>
      </w:r>
      <w:r w:rsidR="004D4ECF" w:rsidRPr="00A37BBD">
        <w:rPr>
          <w:rFonts w:cs="Arial"/>
        </w:rPr>
        <w:t>as shown in Appendix 3</w:t>
      </w:r>
      <w:r w:rsidR="00792100" w:rsidRPr="00A37BBD">
        <w:rPr>
          <w:rFonts w:cs="Arial"/>
        </w:rPr>
        <w:t xml:space="preserve">.  There are several new efficiencies </w:t>
      </w:r>
      <w:r w:rsidR="00E10AB6" w:rsidRPr="00A37BBD">
        <w:rPr>
          <w:rFonts w:cs="Arial"/>
        </w:rPr>
        <w:t>i</w:t>
      </w:r>
      <w:r w:rsidR="00792100" w:rsidRPr="00A37BBD">
        <w:rPr>
          <w:rFonts w:cs="Arial"/>
        </w:rPr>
        <w:t>dentified</w:t>
      </w:r>
      <w:r w:rsidR="004D4ECF" w:rsidRPr="00A37BBD">
        <w:rPr>
          <w:rFonts w:cs="Arial"/>
        </w:rPr>
        <w:t xml:space="preserve"> </w:t>
      </w:r>
      <w:r w:rsidR="13A94275" w:rsidRPr="00A37BBD">
        <w:rPr>
          <w:rFonts w:cs="Arial"/>
        </w:rPr>
        <w:t>including:</w:t>
      </w:r>
    </w:p>
    <w:p w14:paraId="73A1F51C" w14:textId="77777777" w:rsidR="00454091" w:rsidRPr="00A37BBD" w:rsidRDefault="00454091" w:rsidP="000511A0">
      <w:pPr>
        <w:pStyle w:val="ListParagraph"/>
        <w:tabs>
          <w:tab w:val="left" w:pos="709"/>
        </w:tabs>
        <w:ind w:left="993" w:right="386"/>
        <w:rPr>
          <w:rFonts w:cs="Arial"/>
        </w:rPr>
      </w:pPr>
    </w:p>
    <w:p w14:paraId="27452930" w14:textId="796EFD55" w:rsidR="00454091" w:rsidRPr="00B96FC0" w:rsidRDefault="00454091" w:rsidP="07CBB4C4">
      <w:pPr>
        <w:pStyle w:val="ListParagraph"/>
        <w:ind w:left="709" w:right="386"/>
        <w:rPr>
          <w:rFonts w:cs="Arial"/>
          <w:b/>
          <w:bCs/>
        </w:rPr>
      </w:pPr>
      <w:r w:rsidRPr="00A37BBD">
        <w:rPr>
          <w:rFonts w:cs="Arial"/>
          <w:b/>
          <w:bCs/>
        </w:rPr>
        <w:t>Ongoing</w:t>
      </w:r>
      <w:r w:rsidR="00622FC7" w:rsidRPr="00A37BBD">
        <w:rPr>
          <w:rFonts w:cs="Arial"/>
          <w:b/>
          <w:bCs/>
        </w:rPr>
        <w:t xml:space="preserve"> efficiencies</w:t>
      </w:r>
    </w:p>
    <w:p w14:paraId="2349CD36" w14:textId="77777777" w:rsidR="00B80EBF" w:rsidRPr="00B96FC0" w:rsidRDefault="00B80EBF" w:rsidP="000511A0">
      <w:pPr>
        <w:tabs>
          <w:tab w:val="left" w:pos="709"/>
        </w:tabs>
        <w:ind w:left="567" w:right="386" w:hanging="567"/>
        <w:rPr>
          <w:rFonts w:cs="Arial"/>
          <w:b/>
          <w:highlight w:val="yellow"/>
        </w:rPr>
      </w:pPr>
    </w:p>
    <w:p w14:paraId="39B116E5" w14:textId="24EDF020" w:rsidR="304323DF" w:rsidRDefault="72996A30" w:rsidP="009046B9">
      <w:pPr>
        <w:pStyle w:val="ListParagraph"/>
        <w:numPr>
          <w:ilvl w:val="0"/>
          <w:numId w:val="12"/>
        </w:numPr>
        <w:ind w:right="386"/>
        <w:rPr>
          <w:rFonts w:cs="Arial"/>
        </w:rPr>
      </w:pPr>
      <w:r w:rsidRPr="6F9FB908">
        <w:rPr>
          <w:rFonts w:cs="Arial"/>
          <w:b/>
          <w:bCs/>
        </w:rPr>
        <w:t xml:space="preserve">Customer services – </w:t>
      </w:r>
      <w:r w:rsidR="1E855887" w:rsidRPr="6F9FB908">
        <w:rPr>
          <w:rFonts w:cs="Arial"/>
          <w:b/>
          <w:bCs/>
        </w:rPr>
        <w:t>£</w:t>
      </w:r>
      <w:r w:rsidR="72D03D24" w:rsidRPr="6F9FB908">
        <w:rPr>
          <w:rFonts w:cs="Arial"/>
          <w:b/>
          <w:bCs/>
        </w:rPr>
        <w:t>421k</w:t>
      </w:r>
      <w:r w:rsidR="1E855887" w:rsidRPr="6F9FB908">
        <w:rPr>
          <w:rFonts w:cs="Arial"/>
          <w:b/>
          <w:bCs/>
        </w:rPr>
        <w:t xml:space="preserve"> per </w:t>
      </w:r>
      <w:r w:rsidR="3C404D0E" w:rsidRPr="6F9FB908">
        <w:rPr>
          <w:rFonts w:cs="Arial"/>
          <w:b/>
          <w:bCs/>
        </w:rPr>
        <w:t>annum</w:t>
      </w:r>
      <w:r w:rsidR="261A5DBC" w:rsidRPr="6F9FB908">
        <w:rPr>
          <w:rFonts w:cs="Arial"/>
          <w:b/>
          <w:bCs/>
        </w:rPr>
        <w:t>.</w:t>
      </w:r>
      <w:r w:rsidR="45393258" w:rsidRPr="6F9FB908">
        <w:rPr>
          <w:rFonts w:cs="Arial"/>
        </w:rPr>
        <w:t xml:space="preserve"> </w:t>
      </w:r>
      <w:r w:rsidR="14EEA490" w:rsidRPr="6F9FB908">
        <w:rPr>
          <w:rFonts w:cs="Arial"/>
        </w:rPr>
        <w:t>The</w:t>
      </w:r>
      <w:r w:rsidRPr="6F9FB908">
        <w:rPr>
          <w:rFonts w:cs="Arial"/>
        </w:rPr>
        <w:t xml:space="preserve"> introduction of the housing customer portal and the move of housing benefit claimants to un</w:t>
      </w:r>
      <w:r w:rsidR="00D65A75" w:rsidRPr="6F9FB908">
        <w:rPr>
          <w:rFonts w:cs="Arial"/>
        </w:rPr>
        <w:t xml:space="preserve">iversal credit from 1-4-2025 will </w:t>
      </w:r>
      <w:r w:rsidR="0D06857D" w:rsidRPr="6F9FB908">
        <w:rPr>
          <w:rFonts w:cs="Arial"/>
        </w:rPr>
        <w:t xml:space="preserve">reduce </w:t>
      </w:r>
      <w:r w:rsidR="00D65A75" w:rsidRPr="6F9FB908">
        <w:rPr>
          <w:rFonts w:cs="Arial"/>
        </w:rPr>
        <w:t>service volumes. Th</w:t>
      </w:r>
      <w:r w:rsidR="7D77F04F" w:rsidRPr="6F9FB908">
        <w:rPr>
          <w:rFonts w:cs="Arial"/>
        </w:rPr>
        <w:t>is</w:t>
      </w:r>
      <w:r w:rsidR="00D65A75" w:rsidRPr="6F9FB908">
        <w:rPr>
          <w:rFonts w:cs="Arial"/>
        </w:rPr>
        <w:t xml:space="preserve"> </w:t>
      </w:r>
      <w:r w:rsidR="2AD31D52" w:rsidRPr="6F9FB908">
        <w:rPr>
          <w:rFonts w:cs="Arial"/>
        </w:rPr>
        <w:t>is</w:t>
      </w:r>
      <w:r w:rsidR="00D65A75" w:rsidRPr="6F9FB908">
        <w:rPr>
          <w:rFonts w:cs="Arial"/>
        </w:rPr>
        <w:t xml:space="preserve"> anticipated to </w:t>
      </w:r>
      <w:r w:rsidR="71AF99C6" w:rsidRPr="6F9FB908">
        <w:rPr>
          <w:rFonts w:cs="Arial"/>
        </w:rPr>
        <w:t xml:space="preserve">give rise to staffing savings </w:t>
      </w:r>
      <w:r w:rsidR="00D65A75" w:rsidRPr="6F9FB908">
        <w:rPr>
          <w:rFonts w:cs="Arial"/>
        </w:rPr>
        <w:t xml:space="preserve">in </w:t>
      </w:r>
      <w:r w:rsidR="3ED807E6" w:rsidRPr="6F9FB908">
        <w:rPr>
          <w:rFonts w:cs="Arial"/>
        </w:rPr>
        <w:t xml:space="preserve">customer services </w:t>
      </w:r>
      <w:r w:rsidR="42E67273" w:rsidRPr="6F9FB908">
        <w:rPr>
          <w:rFonts w:cs="Arial"/>
        </w:rPr>
        <w:t>of</w:t>
      </w:r>
      <w:r w:rsidR="3ED807E6" w:rsidRPr="6F9FB908">
        <w:rPr>
          <w:rFonts w:cs="Arial"/>
        </w:rPr>
        <w:t xml:space="preserve"> 2 </w:t>
      </w:r>
      <w:proofErr w:type="spellStart"/>
      <w:r w:rsidR="1986BCCD" w:rsidRPr="6F9FB908">
        <w:rPr>
          <w:rFonts w:cs="Arial"/>
        </w:rPr>
        <w:t>fte</w:t>
      </w:r>
      <w:proofErr w:type="spellEnd"/>
      <w:r w:rsidR="3ED807E6" w:rsidRPr="6F9FB908">
        <w:rPr>
          <w:rFonts w:cs="Arial"/>
        </w:rPr>
        <w:t xml:space="preserve"> in 2025-2</w:t>
      </w:r>
      <w:r w:rsidR="501CE3FF" w:rsidRPr="6F9FB908">
        <w:rPr>
          <w:rFonts w:cs="Arial"/>
        </w:rPr>
        <w:t>6</w:t>
      </w:r>
      <w:r w:rsidR="3ED807E6" w:rsidRPr="6F9FB908">
        <w:rPr>
          <w:rFonts w:cs="Arial"/>
        </w:rPr>
        <w:t xml:space="preserve"> and a further 2 </w:t>
      </w:r>
      <w:proofErr w:type="spellStart"/>
      <w:r w:rsidR="229E1C32" w:rsidRPr="6F9FB908">
        <w:rPr>
          <w:rFonts w:cs="Arial"/>
        </w:rPr>
        <w:t>fte</w:t>
      </w:r>
      <w:proofErr w:type="spellEnd"/>
      <w:r w:rsidR="229E1C32" w:rsidRPr="6F9FB908">
        <w:rPr>
          <w:rFonts w:cs="Arial"/>
        </w:rPr>
        <w:t xml:space="preserve"> </w:t>
      </w:r>
      <w:r w:rsidR="3ED807E6" w:rsidRPr="6F9FB908">
        <w:rPr>
          <w:rFonts w:cs="Arial"/>
        </w:rPr>
        <w:t>from 2026-27 onwards. I</w:t>
      </w:r>
      <w:r w:rsidR="76C03B8B" w:rsidRPr="6F9FB908">
        <w:rPr>
          <w:rFonts w:cs="Arial"/>
        </w:rPr>
        <w:t xml:space="preserve">n </w:t>
      </w:r>
      <w:r w:rsidR="70CADB87" w:rsidRPr="6F9FB908">
        <w:rPr>
          <w:rFonts w:cs="Arial"/>
        </w:rPr>
        <w:t>addition</w:t>
      </w:r>
      <w:r w:rsidR="156B504C" w:rsidRPr="6F9FB908">
        <w:rPr>
          <w:rFonts w:cs="Arial"/>
        </w:rPr>
        <w:t>,</w:t>
      </w:r>
      <w:r w:rsidR="76C03B8B" w:rsidRPr="6F9FB908">
        <w:rPr>
          <w:rFonts w:cs="Arial"/>
        </w:rPr>
        <w:t xml:space="preserve"> restructure proposals will release a further £104k of savings from 1-4-2025 onwards</w:t>
      </w:r>
      <w:r w:rsidR="7992C676" w:rsidRPr="6F9FB908">
        <w:rPr>
          <w:rFonts w:cs="Arial"/>
        </w:rPr>
        <w:t>.</w:t>
      </w:r>
      <w:r w:rsidR="6E410C88" w:rsidRPr="6F9FB908">
        <w:rPr>
          <w:rFonts w:cs="Arial"/>
        </w:rPr>
        <w:t xml:space="preserve"> </w:t>
      </w:r>
      <w:r w:rsidR="378502F6" w:rsidRPr="6F9FB908">
        <w:rPr>
          <w:rFonts w:cs="Arial"/>
        </w:rPr>
        <w:t>Further savings will be</w:t>
      </w:r>
      <w:r w:rsidR="6E410C88" w:rsidRPr="6F9FB908">
        <w:rPr>
          <w:rFonts w:cs="Arial"/>
        </w:rPr>
        <w:t xml:space="preserve"> realised from the Customer services program </w:t>
      </w:r>
      <w:r w:rsidR="05EE7C07" w:rsidRPr="6F9FB908">
        <w:rPr>
          <w:rFonts w:cs="Arial"/>
        </w:rPr>
        <w:t xml:space="preserve">in areas such as the call centre, postage </w:t>
      </w:r>
      <w:proofErr w:type="gramStart"/>
      <w:r w:rsidR="05EE7C07" w:rsidRPr="6F9FB908">
        <w:rPr>
          <w:rFonts w:cs="Arial"/>
        </w:rPr>
        <w:t>and also</w:t>
      </w:r>
      <w:proofErr w:type="gramEnd"/>
      <w:r w:rsidR="05EE7C07" w:rsidRPr="6F9FB908">
        <w:rPr>
          <w:rFonts w:cs="Arial"/>
        </w:rPr>
        <w:t xml:space="preserve"> the interface with ODS </w:t>
      </w:r>
      <w:r w:rsidR="6E410C88" w:rsidRPr="6F9FB908">
        <w:rPr>
          <w:rFonts w:cs="Arial"/>
        </w:rPr>
        <w:t xml:space="preserve">realising another </w:t>
      </w:r>
      <w:r w:rsidR="763EB18E" w:rsidRPr="6F9FB908">
        <w:rPr>
          <w:rFonts w:cs="Arial"/>
        </w:rPr>
        <w:t xml:space="preserve">estimated </w:t>
      </w:r>
      <w:r w:rsidR="6E410C88" w:rsidRPr="6F9FB908">
        <w:rPr>
          <w:rFonts w:cs="Arial"/>
        </w:rPr>
        <w:t xml:space="preserve">£200k of savings with effect from </w:t>
      </w:r>
      <w:r w:rsidR="00344269" w:rsidRPr="6F9FB908">
        <w:rPr>
          <w:rFonts w:cs="Arial"/>
        </w:rPr>
        <w:t>1-4-2026.</w:t>
      </w:r>
    </w:p>
    <w:p w14:paraId="27E51306" w14:textId="4857AD5A" w:rsidR="32AD1F98" w:rsidRDefault="2E793474" w:rsidP="009046B9">
      <w:pPr>
        <w:pStyle w:val="ListParagraph"/>
        <w:numPr>
          <w:ilvl w:val="0"/>
          <w:numId w:val="12"/>
        </w:numPr>
        <w:ind w:right="386"/>
        <w:rPr>
          <w:rFonts w:cs="Arial"/>
        </w:rPr>
      </w:pPr>
      <w:r w:rsidRPr="6F9FB908">
        <w:rPr>
          <w:rFonts w:cs="Arial"/>
          <w:b/>
          <w:bCs/>
        </w:rPr>
        <w:t xml:space="preserve">Human Resources and Organisational </w:t>
      </w:r>
      <w:r w:rsidR="62DAF44F" w:rsidRPr="6F9FB908">
        <w:rPr>
          <w:rFonts w:cs="Arial"/>
          <w:b/>
          <w:bCs/>
        </w:rPr>
        <w:t>Development</w:t>
      </w:r>
      <w:r w:rsidRPr="6F9FB908">
        <w:rPr>
          <w:rFonts w:cs="Arial"/>
        </w:rPr>
        <w:t xml:space="preserve"> </w:t>
      </w:r>
      <w:r w:rsidR="10CD2332" w:rsidRPr="6F9FB908">
        <w:rPr>
          <w:rFonts w:cs="Arial"/>
          <w:b/>
          <w:bCs/>
        </w:rPr>
        <w:t>£98k</w:t>
      </w:r>
      <w:r w:rsidR="6F722AF4" w:rsidRPr="6F9FB908">
        <w:rPr>
          <w:rFonts w:cs="Arial"/>
          <w:b/>
          <w:bCs/>
        </w:rPr>
        <w:t xml:space="preserve"> p</w:t>
      </w:r>
      <w:r w:rsidR="4B5F0F51" w:rsidRPr="6F9FB908">
        <w:rPr>
          <w:rFonts w:cs="Arial"/>
          <w:b/>
          <w:bCs/>
        </w:rPr>
        <w:t>e</w:t>
      </w:r>
      <w:r w:rsidR="6F722AF4" w:rsidRPr="6F9FB908">
        <w:rPr>
          <w:rFonts w:cs="Arial"/>
          <w:b/>
          <w:bCs/>
        </w:rPr>
        <w:t>r annum</w:t>
      </w:r>
      <w:r w:rsidRPr="6F9FB908">
        <w:rPr>
          <w:rFonts w:cs="Arial"/>
          <w:b/>
          <w:bCs/>
        </w:rPr>
        <w:t>–</w:t>
      </w:r>
      <w:r w:rsidRPr="6F9FB908">
        <w:rPr>
          <w:rFonts w:cs="Arial"/>
        </w:rPr>
        <w:t xml:space="preserve"> Proposals have been put forward to restruc</w:t>
      </w:r>
      <w:r w:rsidR="6D42C455" w:rsidRPr="6F9FB908">
        <w:rPr>
          <w:rFonts w:cs="Arial"/>
        </w:rPr>
        <w:t xml:space="preserve">ture the service and make 1 vacant post reduction </w:t>
      </w:r>
      <w:r w:rsidR="768034A5" w:rsidRPr="6F9FB908">
        <w:rPr>
          <w:rFonts w:cs="Arial"/>
        </w:rPr>
        <w:t>split over 2026-27 and 2027-28.</w:t>
      </w:r>
    </w:p>
    <w:p w14:paraId="2EF1BF37" w14:textId="7FCD2848" w:rsidR="2F8BE3C1" w:rsidRDefault="5050EE95" w:rsidP="009046B9">
      <w:pPr>
        <w:pStyle w:val="ListParagraph"/>
        <w:numPr>
          <w:ilvl w:val="0"/>
          <w:numId w:val="12"/>
        </w:numPr>
        <w:ind w:right="386"/>
        <w:rPr>
          <w:rFonts w:cs="Arial"/>
        </w:rPr>
      </w:pPr>
      <w:r w:rsidRPr="5F3B9F60">
        <w:rPr>
          <w:rFonts w:cs="Arial"/>
          <w:b/>
        </w:rPr>
        <w:t>Corporate Strategy - £</w:t>
      </w:r>
      <w:r w:rsidRPr="188FBF67">
        <w:rPr>
          <w:rFonts w:cs="Arial"/>
          <w:b/>
          <w:bCs/>
        </w:rPr>
        <w:t>27</w:t>
      </w:r>
      <w:r w:rsidR="3C11D7DC" w:rsidRPr="188FBF67">
        <w:rPr>
          <w:rFonts w:cs="Arial"/>
          <w:b/>
          <w:bCs/>
        </w:rPr>
        <w:t>k</w:t>
      </w:r>
      <w:r w:rsidRPr="188FBF67">
        <w:rPr>
          <w:rFonts w:cs="Arial"/>
        </w:rPr>
        <w:t xml:space="preserve"> </w:t>
      </w:r>
      <w:r w:rsidR="7262847D" w:rsidRPr="188FBF67">
        <w:rPr>
          <w:rFonts w:cs="Arial"/>
        </w:rPr>
        <w:t>per annum</w:t>
      </w:r>
      <w:r w:rsidRPr="04116FAA">
        <w:rPr>
          <w:rFonts w:cs="Arial"/>
        </w:rPr>
        <w:t xml:space="preserve"> </w:t>
      </w:r>
      <w:r w:rsidRPr="212BA827">
        <w:rPr>
          <w:rFonts w:cs="Arial"/>
        </w:rPr>
        <w:t xml:space="preserve">- Reduction in </w:t>
      </w:r>
      <w:r w:rsidRPr="3B5E4740">
        <w:rPr>
          <w:rFonts w:cs="Arial"/>
        </w:rPr>
        <w:t xml:space="preserve">external communications resource </w:t>
      </w:r>
      <w:r w:rsidRPr="5F3B9F60">
        <w:rPr>
          <w:rFonts w:cs="Arial"/>
        </w:rPr>
        <w:t>– 0.5fte</w:t>
      </w:r>
    </w:p>
    <w:p w14:paraId="7B7CBDD9" w14:textId="411B76C5" w:rsidR="16568ADF" w:rsidRDefault="16568ADF" w:rsidP="009046B9">
      <w:pPr>
        <w:pStyle w:val="ListParagraph"/>
        <w:numPr>
          <w:ilvl w:val="0"/>
          <w:numId w:val="12"/>
        </w:numPr>
        <w:ind w:right="386"/>
        <w:rPr>
          <w:rFonts w:cs="Arial"/>
        </w:rPr>
      </w:pPr>
      <w:r w:rsidRPr="5C407DC8">
        <w:rPr>
          <w:rFonts w:cs="Arial"/>
          <w:b/>
          <w:bCs/>
        </w:rPr>
        <w:t>Financial Services - £</w:t>
      </w:r>
      <w:r w:rsidRPr="188FBF67">
        <w:rPr>
          <w:rFonts w:cs="Arial"/>
          <w:b/>
          <w:bCs/>
        </w:rPr>
        <w:t>1</w:t>
      </w:r>
      <w:r w:rsidR="649FC258" w:rsidRPr="188FBF67">
        <w:rPr>
          <w:rFonts w:cs="Arial"/>
          <w:b/>
          <w:bCs/>
        </w:rPr>
        <w:t>55</w:t>
      </w:r>
      <w:r w:rsidRPr="188FBF67">
        <w:rPr>
          <w:rFonts w:cs="Arial"/>
          <w:b/>
          <w:bCs/>
        </w:rPr>
        <w:t>k</w:t>
      </w:r>
      <w:r w:rsidR="6BF2024D" w:rsidRPr="188FBF67">
        <w:rPr>
          <w:rFonts w:cs="Arial"/>
          <w:b/>
          <w:bCs/>
        </w:rPr>
        <w:t xml:space="preserve"> </w:t>
      </w:r>
      <w:r w:rsidR="6BF2024D" w:rsidRPr="5E223688">
        <w:rPr>
          <w:rFonts w:cs="Arial"/>
          <w:b/>
          <w:bCs/>
        </w:rPr>
        <w:t>per annum</w:t>
      </w:r>
      <w:r w:rsidRPr="5C407DC8">
        <w:rPr>
          <w:rFonts w:cs="Arial"/>
          <w:b/>
          <w:bCs/>
        </w:rPr>
        <w:t>-</w:t>
      </w:r>
      <w:r w:rsidRPr="3259ECBF">
        <w:rPr>
          <w:rFonts w:cs="Arial"/>
        </w:rPr>
        <w:t xml:space="preserve"> </w:t>
      </w:r>
      <w:r w:rsidRPr="1DBED645">
        <w:rPr>
          <w:rFonts w:cs="Arial"/>
        </w:rPr>
        <w:t xml:space="preserve">Impact of </w:t>
      </w:r>
      <w:r w:rsidR="7D851A34" w:rsidRPr="38463F4D">
        <w:rPr>
          <w:rFonts w:cs="Arial"/>
        </w:rPr>
        <w:t>migration</w:t>
      </w:r>
      <w:r w:rsidRPr="1DBED645">
        <w:rPr>
          <w:rFonts w:cs="Arial"/>
        </w:rPr>
        <w:t xml:space="preserve"> of Housing </w:t>
      </w:r>
      <w:r w:rsidRPr="1E569895">
        <w:rPr>
          <w:rFonts w:cs="Arial"/>
        </w:rPr>
        <w:t xml:space="preserve">Benefit </w:t>
      </w:r>
      <w:r w:rsidRPr="55AFDDAE">
        <w:rPr>
          <w:rFonts w:cs="Arial"/>
        </w:rPr>
        <w:t>administratio</w:t>
      </w:r>
      <w:r w:rsidR="26553F8F" w:rsidRPr="55AFDDAE">
        <w:rPr>
          <w:rFonts w:cs="Arial"/>
        </w:rPr>
        <w:t xml:space="preserve">n </w:t>
      </w:r>
      <w:r w:rsidR="26553F8F" w:rsidRPr="38463F4D">
        <w:rPr>
          <w:rFonts w:cs="Arial"/>
        </w:rPr>
        <w:t xml:space="preserve">to </w:t>
      </w:r>
      <w:r w:rsidR="16C74054" w:rsidRPr="38463F4D">
        <w:rPr>
          <w:rFonts w:cs="Arial"/>
        </w:rPr>
        <w:t>universal credit from 1-4-2025 plus advances in the robotic</w:t>
      </w:r>
      <w:r w:rsidR="16C74054" w:rsidRPr="188FBF67">
        <w:rPr>
          <w:rFonts w:cs="Arial"/>
        </w:rPr>
        <w:t xml:space="preserve"> processing of transactions within revenues and benefits. </w:t>
      </w:r>
    </w:p>
    <w:p w14:paraId="5E5A754E" w14:textId="515666DF" w:rsidR="188FBF67" w:rsidRDefault="07C22A3B" w:rsidP="009046B9">
      <w:pPr>
        <w:pStyle w:val="ListParagraph"/>
        <w:numPr>
          <w:ilvl w:val="0"/>
          <w:numId w:val="12"/>
        </w:numPr>
        <w:ind w:right="386"/>
        <w:rPr>
          <w:rFonts w:cs="Arial"/>
        </w:rPr>
      </w:pPr>
      <w:r w:rsidRPr="07CBB4C4">
        <w:rPr>
          <w:rFonts w:cs="Arial"/>
          <w:b/>
          <w:bCs/>
        </w:rPr>
        <w:t>Financial services – £</w:t>
      </w:r>
      <w:r w:rsidR="50922D38" w:rsidRPr="07CBB4C4">
        <w:rPr>
          <w:rFonts w:cs="Arial"/>
          <w:b/>
          <w:bCs/>
        </w:rPr>
        <w:t>75</w:t>
      </w:r>
      <w:r w:rsidRPr="07CBB4C4">
        <w:rPr>
          <w:rFonts w:cs="Arial"/>
          <w:b/>
          <w:bCs/>
        </w:rPr>
        <w:t>k -</w:t>
      </w:r>
      <w:r w:rsidRPr="07CBB4C4">
        <w:rPr>
          <w:rFonts w:cs="Arial"/>
        </w:rPr>
        <w:t xml:space="preserve">Structural changes within the financial accounting team </w:t>
      </w:r>
      <w:r w:rsidR="03B76C8C" w:rsidRPr="07CBB4C4">
        <w:rPr>
          <w:rFonts w:cs="Arial"/>
        </w:rPr>
        <w:t xml:space="preserve">and digitisation of processes in the payments team </w:t>
      </w:r>
      <w:r w:rsidRPr="07CBB4C4">
        <w:rPr>
          <w:rFonts w:cs="Arial"/>
        </w:rPr>
        <w:t xml:space="preserve">leading to reduction of </w:t>
      </w:r>
      <w:r w:rsidR="6F228A49" w:rsidRPr="07CBB4C4">
        <w:rPr>
          <w:rFonts w:cs="Arial"/>
        </w:rPr>
        <w:t>2</w:t>
      </w:r>
      <w:r w:rsidRPr="07CBB4C4">
        <w:rPr>
          <w:rFonts w:cs="Arial"/>
        </w:rPr>
        <w:t xml:space="preserve"> </w:t>
      </w:r>
      <w:proofErr w:type="spellStart"/>
      <w:proofErr w:type="gramStart"/>
      <w:r w:rsidRPr="07CBB4C4">
        <w:rPr>
          <w:rFonts w:cs="Arial"/>
        </w:rPr>
        <w:t>fte</w:t>
      </w:r>
      <w:proofErr w:type="spellEnd"/>
      <w:proofErr w:type="gramEnd"/>
    </w:p>
    <w:p w14:paraId="6A2D625E" w14:textId="00775899" w:rsidR="08145763" w:rsidRDefault="08145763" w:rsidP="009046B9">
      <w:pPr>
        <w:pStyle w:val="ListParagraph"/>
        <w:numPr>
          <w:ilvl w:val="0"/>
          <w:numId w:val="12"/>
        </w:numPr>
        <w:ind w:right="386"/>
        <w:rPr>
          <w:rFonts w:cs="Arial"/>
        </w:rPr>
      </w:pPr>
      <w:r w:rsidRPr="6F9FB908">
        <w:rPr>
          <w:rFonts w:cs="Arial"/>
          <w:b/>
          <w:bCs/>
        </w:rPr>
        <w:t>Financial Services - £40k per annum</w:t>
      </w:r>
      <w:r w:rsidRPr="6F9FB908">
        <w:rPr>
          <w:rFonts w:cs="Arial"/>
        </w:rPr>
        <w:t>. With effect from 1-4-202</w:t>
      </w:r>
      <w:r w:rsidR="6A7D393D" w:rsidRPr="6F9FB908">
        <w:rPr>
          <w:rFonts w:cs="Arial"/>
        </w:rPr>
        <w:t>5</w:t>
      </w:r>
      <w:r w:rsidRPr="6F9FB908">
        <w:rPr>
          <w:rFonts w:cs="Arial"/>
        </w:rPr>
        <w:t xml:space="preserve"> the council </w:t>
      </w:r>
      <w:r w:rsidR="55BAC950" w:rsidRPr="6F9FB908">
        <w:rPr>
          <w:rFonts w:cs="Arial"/>
        </w:rPr>
        <w:t>will</w:t>
      </w:r>
      <w:r w:rsidRPr="6F9FB908">
        <w:rPr>
          <w:rFonts w:cs="Arial"/>
        </w:rPr>
        <w:t xml:space="preserve"> no </w:t>
      </w:r>
      <w:r w:rsidR="2589FC51" w:rsidRPr="6F9FB908">
        <w:rPr>
          <w:rFonts w:cs="Arial"/>
        </w:rPr>
        <w:t>longer</w:t>
      </w:r>
      <w:r w:rsidRPr="6F9FB908">
        <w:rPr>
          <w:rFonts w:cs="Arial"/>
        </w:rPr>
        <w:t xml:space="preserve"> include financial information in with council tax and business rates bills. Instead</w:t>
      </w:r>
      <w:r w:rsidR="3D1F14FF" w:rsidRPr="6F9FB908">
        <w:rPr>
          <w:rFonts w:cs="Arial"/>
        </w:rPr>
        <w:t>,</w:t>
      </w:r>
      <w:r w:rsidRPr="6F9FB908">
        <w:rPr>
          <w:rFonts w:cs="Arial"/>
        </w:rPr>
        <w:t xml:space="preserve"> reference will be made to this info</w:t>
      </w:r>
      <w:r w:rsidR="3940E6F4" w:rsidRPr="6F9FB908">
        <w:rPr>
          <w:rFonts w:cs="Arial"/>
        </w:rPr>
        <w:t xml:space="preserve">rmation contained on the </w:t>
      </w:r>
      <w:r w:rsidR="38186F30" w:rsidRPr="6F9FB908">
        <w:rPr>
          <w:rFonts w:cs="Arial"/>
        </w:rPr>
        <w:t>council's</w:t>
      </w:r>
      <w:r w:rsidR="3940E6F4" w:rsidRPr="6F9FB908">
        <w:rPr>
          <w:rFonts w:cs="Arial"/>
        </w:rPr>
        <w:t xml:space="preserve"> web site.</w:t>
      </w:r>
    </w:p>
    <w:p w14:paraId="099A7E07" w14:textId="7D9D1A83" w:rsidR="19C17ADC" w:rsidRDefault="19C17ADC" w:rsidP="009046B9">
      <w:pPr>
        <w:pStyle w:val="ListParagraph"/>
        <w:numPr>
          <w:ilvl w:val="0"/>
          <w:numId w:val="12"/>
        </w:numPr>
        <w:ind w:right="386"/>
        <w:rPr>
          <w:rFonts w:cs="Arial"/>
        </w:rPr>
      </w:pPr>
      <w:r w:rsidRPr="07CBB4C4">
        <w:rPr>
          <w:rFonts w:cs="Arial"/>
          <w:b/>
          <w:bCs/>
        </w:rPr>
        <w:t>Law and Governance - £13k per annum from 2026-27</w:t>
      </w:r>
      <w:r w:rsidRPr="07CBB4C4">
        <w:rPr>
          <w:rFonts w:cs="Arial"/>
        </w:rPr>
        <w:t xml:space="preserve"> – structural review in democratic services</w:t>
      </w:r>
    </w:p>
    <w:p w14:paraId="031D592F" w14:textId="35B49B16" w:rsidR="55CA799D" w:rsidRDefault="55CA799D" w:rsidP="009046B9">
      <w:pPr>
        <w:pStyle w:val="ListParagraph"/>
        <w:numPr>
          <w:ilvl w:val="0"/>
          <w:numId w:val="12"/>
        </w:numPr>
        <w:ind w:right="386"/>
        <w:rPr>
          <w:rFonts w:cs="Arial"/>
        </w:rPr>
      </w:pPr>
      <w:r w:rsidRPr="70F65A1F">
        <w:rPr>
          <w:rFonts w:cs="Arial"/>
          <w:b/>
          <w:bCs/>
        </w:rPr>
        <w:t xml:space="preserve">ODS – Client – £470k per annum </w:t>
      </w:r>
      <w:r w:rsidRPr="70F65A1F">
        <w:rPr>
          <w:rFonts w:cs="Arial"/>
        </w:rPr>
        <w:t xml:space="preserve">- Reductions in provision for consultancy </w:t>
      </w:r>
    </w:p>
    <w:p w14:paraId="19DADC76" w14:textId="59BF9A1F" w:rsidR="460B4A3D" w:rsidRDefault="460B4A3D" w:rsidP="009046B9">
      <w:pPr>
        <w:pStyle w:val="ListParagraph"/>
        <w:numPr>
          <w:ilvl w:val="0"/>
          <w:numId w:val="12"/>
        </w:numPr>
        <w:ind w:right="386"/>
        <w:rPr>
          <w:rFonts w:cs="Arial"/>
        </w:rPr>
      </w:pPr>
      <w:r w:rsidRPr="07CBB4C4">
        <w:rPr>
          <w:rFonts w:cs="Arial"/>
          <w:b/>
          <w:bCs/>
        </w:rPr>
        <w:t>ODS Client - £100k per annum</w:t>
      </w:r>
      <w:r w:rsidRPr="07CBB4C4">
        <w:rPr>
          <w:rFonts w:cs="Arial"/>
        </w:rPr>
        <w:t xml:space="preserve"> – operational savings from reducing the size of the </w:t>
      </w:r>
      <w:proofErr w:type="gramStart"/>
      <w:r w:rsidRPr="07CBB4C4">
        <w:rPr>
          <w:rFonts w:cs="Arial"/>
        </w:rPr>
        <w:t>fleet</w:t>
      </w:r>
      <w:proofErr w:type="gramEnd"/>
    </w:p>
    <w:p w14:paraId="4BA3E43D" w14:textId="1BA02F22" w:rsidR="460B4A3D" w:rsidRDefault="460B4A3D" w:rsidP="009046B9">
      <w:pPr>
        <w:pStyle w:val="ListParagraph"/>
        <w:numPr>
          <w:ilvl w:val="0"/>
          <w:numId w:val="12"/>
        </w:numPr>
        <w:ind w:right="386"/>
        <w:rPr>
          <w:rFonts w:cs="Arial"/>
        </w:rPr>
      </w:pPr>
      <w:r w:rsidRPr="07CBB4C4">
        <w:rPr>
          <w:rFonts w:cs="Arial"/>
          <w:b/>
          <w:bCs/>
        </w:rPr>
        <w:t xml:space="preserve">ODS Client - £238k per annum </w:t>
      </w:r>
      <w:r w:rsidRPr="07CBB4C4">
        <w:rPr>
          <w:rFonts w:cs="Arial"/>
        </w:rPr>
        <w:t xml:space="preserve">reductions in management and overhead cost of the business. </w:t>
      </w:r>
    </w:p>
    <w:p w14:paraId="1BD5F27A" w14:textId="39A0F84E" w:rsidR="460B4A3D" w:rsidRDefault="460B4A3D" w:rsidP="009046B9">
      <w:pPr>
        <w:pStyle w:val="ListParagraph"/>
        <w:numPr>
          <w:ilvl w:val="0"/>
          <w:numId w:val="12"/>
        </w:numPr>
        <w:ind w:right="386"/>
        <w:rPr>
          <w:rFonts w:cs="Arial"/>
        </w:rPr>
      </w:pPr>
      <w:r w:rsidRPr="07CBB4C4">
        <w:rPr>
          <w:rFonts w:cs="Arial"/>
          <w:b/>
          <w:bCs/>
        </w:rPr>
        <w:lastRenderedPageBreak/>
        <w:t xml:space="preserve">ODS Client - £100k per annum </w:t>
      </w:r>
      <w:r w:rsidRPr="07CBB4C4">
        <w:rPr>
          <w:rFonts w:cs="Arial"/>
        </w:rPr>
        <w:t>– reduction in the size of the recycling promotions team from 4 to 2</w:t>
      </w:r>
      <w:r w:rsidR="215002FD" w:rsidRPr="07CBB4C4">
        <w:rPr>
          <w:rFonts w:cs="Arial"/>
        </w:rPr>
        <w:t xml:space="preserve"> now that recycling practices with residents are embedded. </w:t>
      </w:r>
    </w:p>
    <w:p w14:paraId="15A3E135" w14:textId="40FA16CF" w:rsidR="1F3950C2" w:rsidRDefault="0BBABF35" w:rsidP="009046B9">
      <w:pPr>
        <w:pStyle w:val="ListParagraph"/>
        <w:numPr>
          <w:ilvl w:val="0"/>
          <w:numId w:val="12"/>
        </w:numPr>
        <w:ind w:right="386"/>
        <w:rPr>
          <w:rFonts w:cs="Arial"/>
        </w:rPr>
      </w:pPr>
      <w:r w:rsidRPr="60EA432F">
        <w:rPr>
          <w:rFonts w:cs="Arial"/>
          <w:b/>
          <w:bCs/>
        </w:rPr>
        <w:t>Planning services - £65k</w:t>
      </w:r>
      <w:r w:rsidR="35B8949A" w:rsidRPr="60EA432F">
        <w:rPr>
          <w:rFonts w:cs="Arial"/>
          <w:b/>
          <w:bCs/>
        </w:rPr>
        <w:t xml:space="preserve"> per annum</w:t>
      </w:r>
      <w:r w:rsidRPr="60EA432F">
        <w:rPr>
          <w:rFonts w:cs="Arial"/>
          <w:b/>
          <w:bCs/>
        </w:rPr>
        <w:t xml:space="preserve"> -</w:t>
      </w:r>
      <w:r w:rsidRPr="60EA432F">
        <w:rPr>
          <w:rFonts w:cs="Arial"/>
        </w:rPr>
        <w:t xml:space="preserve"> increased digitisation of the services should enable the service to reduce admi</w:t>
      </w:r>
      <w:r w:rsidR="17C69E5B" w:rsidRPr="60EA432F">
        <w:rPr>
          <w:rFonts w:cs="Arial"/>
        </w:rPr>
        <w:t xml:space="preserve">nistration costs in addition the work is ongoing to establish a shared service for the </w:t>
      </w:r>
      <w:r w:rsidR="0826C5F5" w:rsidRPr="60EA432F">
        <w:rPr>
          <w:rFonts w:cs="Arial"/>
        </w:rPr>
        <w:t>provision</w:t>
      </w:r>
      <w:r w:rsidR="3F349024" w:rsidRPr="60EA432F">
        <w:rPr>
          <w:rFonts w:cs="Arial"/>
        </w:rPr>
        <w:t xml:space="preserve"> of </w:t>
      </w:r>
      <w:r w:rsidR="376A7E26" w:rsidRPr="60EA432F">
        <w:rPr>
          <w:rFonts w:cs="Arial"/>
        </w:rPr>
        <w:t>building</w:t>
      </w:r>
      <w:r w:rsidR="3F349024" w:rsidRPr="60EA432F">
        <w:rPr>
          <w:rFonts w:cs="Arial"/>
        </w:rPr>
        <w:t xml:space="preserve"> control with cost savings estimated at £30k per annum.</w:t>
      </w:r>
      <w:r w:rsidR="3F349024" w:rsidRPr="60EA432F">
        <w:rPr>
          <w:rFonts w:cs="Arial"/>
          <w:b/>
          <w:bCs/>
        </w:rPr>
        <w:t xml:space="preserve"> </w:t>
      </w:r>
    </w:p>
    <w:p w14:paraId="5971C2CE" w14:textId="0B2E5BCA" w:rsidR="4DF459A2" w:rsidRDefault="4DF459A2" w:rsidP="009046B9">
      <w:pPr>
        <w:pStyle w:val="ListParagraph"/>
        <w:numPr>
          <w:ilvl w:val="0"/>
          <w:numId w:val="12"/>
        </w:numPr>
        <w:ind w:right="386"/>
        <w:rPr>
          <w:rFonts w:cs="Arial"/>
        </w:rPr>
      </w:pPr>
      <w:r w:rsidRPr="60EA432F">
        <w:rPr>
          <w:rFonts w:cs="Arial"/>
          <w:b/>
          <w:bCs/>
        </w:rPr>
        <w:t xml:space="preserve">Localities Management - £60k saving from 1-4-2026. </w:t>
      </w:r>
      <w:r w:rsidR="4FE2D148" w:rsidRPr="60EA432F">
        <w:rPr>
          <w:rFonts w:cs="Arial"/>
        </w:rPr>
        <w:t xml:space="preserve">Reducing the amount of funding to the programme by remodelling the service to provide a city wide </w:t>
      </w:r>
      <w:proofErr w:type="gramStart"/>
      <w:r w:rsidR="4FE2D148" w:rsidRPr="60EA432F">
        <w:rPr>
          <w:rFonts w:cs="Arial"/>
        </w:rPr>
        <w:t>offer</w:t>
      </w:r>
      <w:proofErr w:type="gramEnd"/>
    </w:p>
    <w:p w14:paraId="1AB3D8D0" w14:textId="087AAFCD" w:rsidR="0A6EF909" w:rsidRDefault="0A6EF909" w:rsidP="009046B9">
      <w:pPr>
        <w:pStyle w:val="ListParagraph"/>
        <w:numPr>
          <w:ilvl w:val="0"/>
          <w:numId w:val="12"/>
        </w:numPr>
        <w:ind w:right="386"/>
        <w:rPr>
          <w:rFonts w:cs="Arial"/>
        </w:rPr>
      </w:pPr>
      <w:r w:rsidRPr="6F9FB908">
        <w:rPr>
          <w:rFonts w:cs="Arial"/>
          <w:b/>
          <w:bCs/>
        </w:rPr>
        <w:t xml:space="preserve">Community centres – £56k first year then £112k per </w:t>
      </w:r>
      <w:r w:rsidR="56A66EAA" w:rsidRPr="6F9FB908">
        <w:rPr>
          <w:rFonts w:cs="Arial"/>
          <w:b/>
          <w:bCs/>
        </w:rPr>
        <w:t>annum</w:t>
      </w:r>
      <w:r w:rsidRPr="6F9FB908">
        <w:rPr>
          <w:rFonts w:cs="Arial"/>
        </w:rPr>
        <w:t xml:space="preserve">- Moving towards a more </w:t>
      </w:r>
      <w:r w:rsidR="74079A9C" w:rsidRPr="6F9FB908">
        <w:rPr>
          <w:rFonts w:cs="Arial"/>
        </w:rPr>
        <w:t>commercial</w:t>
      </w:r>
      <w:r w:rsidRPr="6F9FB908">
        <w:rPr>
          <w:rFonts w:cs="Arial"/>
        </w:rPr>
        <w:t xml:space="preserve"> </w:t>
      </w:r>
      <w:r w:rsidR="1F930FE7" w:rsidRPr="6F9FB908">
        <w:rPr>
          <w:rFonts w:cs="Arial"/>
        </w:rPr>
        <w:t>position</w:t>
      </w:r>
      <w:r w:rsidRPr="6F9FB908">
        <w:rPr>
          <w:rFonts w:cs="Arial"/>
        </w:rPr>
        <w:t xml:space="preserve"> at the community centres</w:t>
      </w:r>
      <w:r w:rsidR="4DBB9440" w:rsidRPr="6F9FB908">
        <w:rPr>
          <w:rFonts w:cs="Arial"/>
        </w:rPr>
        <w:t>, particularly around generating income</w:t>
      </w:r>
      <w:r w:rsidR="00687451">
        <w:rPr>
          <w:rFonts w:cs="Arial"/>
        </w:rPr>
        <w:t xml:space="preserve">, so that commercial lettings support community-focused </w:t>
      </w:r>
      <w:proofErr w:type="gramStart"/>
      <w:r w:rsidR="00687451">
        <w:rPr>
          <w:rFonts w:cs="Arial"/>
        </w:rPr>
        <w:t>work</w:t>
      </w:r>
      <w:proofErr w:type="gramEnd"/>
    </w:p>
    <w:p w14:paraId="1E680F8A" w14:textId="6BAC0D18" w:rsidR="57186990" w:rsidRDefault="57186990" w:rsidP="009046B9">
      <w:pPr>
        <w:pStyle w:val="ListParagraph"/>
        <w:numPr>
          <w:ilvl w:val="0"/>
          <w:numId w:val="12"/>
        </w:numPr>
        <w:ind w:right="386"/>
        <w:rPr>
          <w:rFonts w:cs="Arial"/>
        </w:rPr>
      </w:pPr>
      <w:r w:rsidRPr="60EA432F">
        <w:rPr>
          <w:rFonts w:cs="Arial"/>
          <w:b/>
          <w:bCs/>
        </w:rPr>
        <w:t>Council Tax Reduction Scheme</w:t>
      </w:r>
      <w:r w:rsidRPr="60EA432F">
        <w:rPr>
          <w:rFonts w:cs="Arial"/>
        </w:rPr>
        <w:t xml:space="preserve"> – </w:t>
      </w:r>
      <w:r w:rsidRPr="60EA432F">
        <w:rPr>
          <w:rFonts w:cs="Arial"/>
          <w:b/>
          <w:bCs/>
        </w:rPr>
        <w:t>£90k saving per</w:t>
      </w:r>
      <w:r w:rsidR="23DB6C69" w:rsidRPr="60EA432F">
        <w:rPr>
          <w:rFonts w:cs="Arial"/>
          <w:b/>
          <w:bCs/>
        </w:rPr>
        <w:t xml:space="preserve"> annum. </w:t>
      </w:r>
      <w:r w:rsidRPr="60EA432F">
        <w:rPr>
          <w:rFonts w:cs="Arial"/>
        </w:rPr>
        <w:t xml:space="preserve">Review the scheme whilst continuing to protect those families on the lowest </w:t>
      </w:r>
      <w:r w:rsidR="00344269" w:rsidRPr="60EA432F">
        <w:rPr>
          <w:rFonts w:cs="Arial"/>
        </w:rPr>
        <w:t>income</w:t>
      </w:r>
      <w:r w:rsidR="00344269">
        <w:rPr>
          <w:rFonts w:cs="Arial"/>
        </w:rPr>
        <w:t>s.</w:t>
      </w:r>
    </w:p>
    <w:p w14:paraId="4E7762FB" w14:textId="46ED6A85" w:rsidR="00097FD6" w:rsidRDefault="00097FD6" w:rsidP="009046B9">
      <w:pPr>
        <w:pStyle w:val="ListParagraph"/>
        <w:numPr>
          <w:ilvl w:val="0"/>
          <w:numId w:val="12"/>
        </w:numPr>
        <w:ind w:right="386"/>
        <w:rPr>
          <w:rFonts w:cs="Arial"/>
          <w:color w:val="000000" w:themeColor="text1"/>
          <w:lang w:eastAsia="en-GB"/>
        </w:rPr>
      </w:pPr>
      <w:r w:rsidRPr="6F9FB908">
        <w:rPr>
          <w:rFonts w:cs="Arial"/>
          <w:b/>
          <w:bCs/>
        </w:rPr>
        <w:t xml:space="preserve">Barton Community Centre </w:t>
      </w:r>
      <w:proofErr w:type="gramStart"/>
      <w:r w:rsidRPr="6F9FB908">
        <w:rPr>
          <w:rFonts w:cs="Arial"/>
          <w:b/>
          <w:bCs/>
        </w:rPr>
        <w:t xml:space="preserve">- </w:t>
      </w:r>
      <w:r w:rsidRPr="6F9FB908">
        <w:rPr>
          <w:rFonts w:cs="Arial"/>
        </w:rPr>
        <w:t xml:space="preserve"> </w:t>
      </w:r>
      <w:r w:rsidRPr="6F9FB908">
        <w:rPr>
          <w:rFonts w:cs="Arial"/>
          <w:b/>
          <w:bCs/>
          <w:color w:val="000000" w:themeColor="text1"/>
          <w:lang w:eastAsia="en-GB"/>
        </w:rPr>
        <w:t>£</w:t>
      </w:r>
      <w:proofErr w:type="gramEnd"/>
      <w:r w:rsidRPr="6F9FB908">
        <w:rPr>
          <w:rFonts w:cs="Arial"/>
          <w:b/>
          <w:bCs/>
          <w:color w:val="000000" w:themeColor="text1"/>
          <w:lang w:eastAsia="en-GB"/>
        </w:rPr>
        <w:t>27k per annum–</w:t>
      </w:r>
      <w:r w:rsidRPr="6F9FB908">
        <w:rPr>
          <w:rFonts w:cs="Arial"/>
          <w:color w:val="000000" w:themeColor="text1"/>
          <w:lang w:eastAsia="en-GB"/>
        </w:rPr>
        <w:t xml:space="preserve"> The Council currently pay the community organisation to clean and lock up the centre. </w:t>
      </w:r>
      <w:r>
        <w:rPr>
          <w:rFonts w:cs="Arial"/>
          <w:color w:val="000000" w:themeColor="text1"/>
          <w:lang w:eastAsia="en-GB"/>
        </w:rPr>
        <w:t>This is an anomaly because this cost is borne elsewhere by community associations in Oxford, so we propose to move to a similar arrangement in Barton.</w:t>
      </w:r>
    </w:p>
    <w:p w14:paraId="097C72F5" w14:textId="77777777" w:rsidR="00097FD6" w:rsidRDefault="00097FD6" w:rsidP="009046B9">
      <w:pPr>
        <w:pStyle w:val="ListParagraph"/>
        <w:numPr>
          <w:ilvl w:val="0"/>
          <w:numId w:val="12"/>
        </w:numPr>
        <w:ind w:right="386"/>
        <w:rPr>
          <w:rFonts w:cs="Arial"/>
          <w:color w:val="000000" w:themeColor="text1"/>
          <w:lang w:eastAsia="en-GB"/>
        </w:rPr>
      </w:pPr>
      <w:r w:rsidRPr="07CBB4C4">
        <w:rPr>
          <w:rFonts w:cs="Arial"/>
          <w:b/>
          <w:bCs/>
          <w:color w:val="000000" w:themeColor="text1"/>
          <w:lang w:eastAsia="en-GB"/>
        </w:rPr>
        <w:t>Removal of Equalities post - £58k</w:t>
      </w:r>
      <w:r w:rsidRPr="07CBB4C4">
        <w:rPr>
          <w:rFonts w:cs="Arial"/>
          <w:color w:val="000000" w:themeColor="text1"/>
          <w:lang w:eastAsia="en-GB"/>
        </w:rPr>
        <w:t xml:space="preserve"> </w:t>
      </w:r>
      <w:r w:rsidRPr="07CBB4C4">
        <w:rPr>
          <w:rFonts w:cs="Arial"/>
          <w:b/>
          <w:bCs/>
          <w:color w:val="000000" w:themeColor="text1"/>
          <w:lang w:eastAsia="en-GB"/>
        </w:rPr>
        <w:t xml:space="preserve">per annum </w:t>
      </w:r>
      <w:proofErr w:type="gramStart"/>
      <w:r w:rsidRPr="07CBB4C4">
        <w:rPr>
          <w:rFonts w:cs="Arial"/>
          <w:color w:val="000000" w:themeColor="text1"/>
          <w:lang w:eastAsia="en-GB"/>
        </w:rPr>
        <w:t>The</w:t>
      </w:r>
      <w:proofErr w:type="gramEnd"/>
      <w:r w:rsidRPr="07CBB4C4">
        <w:rPr>
          <w:rFonts w:cs="Arial"/>
          <w:color w:val="000000" w:themeColor="text1"/>
          <w:lang w:eastAsia="en-GB"/>
        </w:rPr>
        <w:t xml:space="preserve"> post holder has left OCC but workstreams have been embedded across </w:t>
      </w:r>
      <w:r w:rsidRPr="1EDB5DC6">
        <w:rPr>
          <w:rFonts w:cs="Arial"/>
          <w:color w:val="000000" w:themeColor="text1"/>
          <w:lang w:eastAsia="en-GB"/>
        </w:rPr>
        <w:t>other posts</w:t>
      </w:r>
      <w:r w:rsidRPr="07CBB4C4">
        <w:rPr>
          <w:rFonts w:cs="Arial"/>
          <w:color w:val="000000" w:themeColor="text1"/>
          <w:lang w:eastAsia="en-GB"/>
        </w:rPr>
        <w:t xml:space="preserve"> in community services and HR. The proposal is not to replace the post. </w:t>
      </w:r>
    </w:p>
    <w:p w14:paraId="0652CB0B" w14:textId="1D1C3B8C" w:rsidR="00097FD6" w:rsidRDefault="00097FD6" w:rsidP="009046B9">
      <w:pPr>
        <w:pStyle w:val="ListParagraph"/>
        <w:numPr>
          <w:ilvl w:val="0"/>
          <w:numId w:val="12"/>
        </w:numPr>
        <w:ind w:right="386"/>
        <w:rPr>
          <w:rFonts w:cs="Arial"/>
          <w:color w:val="000000" w:themeColor="text1"/>
          <w:lang w:eastAsia="en-GB"/>
        </w:rPr>
      </w:pPr>
      <w:r w:rsidRPr="60EA432F">
        <w:rPr>
          <w:rFonts w:cs="Arial"/>
          <w:b/>
          <w:bCs/>
          <w:color w:val="000000" w:themeColor="text1"/>
          <w:lang w:eastAsia="en-GB"/>
        </w:rPr>
        <w:t xml:space="preserve">Christmas Lights Festival - £20k per annum </w:t>
      </w:r>
      <w:r w:rsidRPr="60EA432F">
        <w:rPr>
          <w:rFonts w:cs="Arial"/>
          <w:color w:val="000000" w:themeColor="text1"/>
          <w:lang w:eastAsia="en-GB"/>
        </w:rPr>
        <w:t xml:space="preserve">Proposal is to </w:t>
      </w:r>
      <w:r>
        <w:rPr>
          <w:rFonts w:cs="Arial"/>
          <w:color w:val="000000" w:themeColor="text1"/>
          <w:lang w:eastAsia="en-GB"/>
        </w:rPr>
        <w:t>reduce</w:t>
      </w:r>
      <w:r w:rsidRPr="60EA432F">
        <w:rPr>
          <w:rFonts w:cs="Arial"/>
          <w:color w:val="000000" w:themeColor="text1"/>
          <w:lang w:eastAsia="en-GB"/>
        </w:rPr>
        <w:t xml:space="preserve"> the funding for Christmas Light Festival and instead encourage cultural </w:t>
      </w:r>
      <w:r>
        <w:rPr>
          <w:rFonts w:cs="Arial"/>
          <w:color w:val="000000" w:themeColor="text1"/>
          <w:lang w:eastAsia="en-GB"/>
        </w:rPr>
        <w:t xml:space="preserve">or other </w:t>
      </w:r>
      <w:r w:rsidRPr="60EA432F">
        <w:rPr>
          <w:rFonts w:cs="Arial"/>
          <w:color w:val="000000" w:themeColor="text1"/>
          <w:lang w:eastAsia="en-GB"/>
        </w:rPr>
        <w:t>partners to fund</w:t>
      </w:r>
      <w:r>
        <w:rPr>
          <w:rFonts w:cs="Arial"/>
          <w:color w:val="000000" w:themeColor="text1"/>
          <w:lang w:eastAsia="en-GB"/>
        </w:rPr>
        <w:t>.  If funding is not found, the festival would need to reduce in size.</w:t>
      </w:r>
    </w:p>
    <w:p w14:paraId="06895D20" w14:textId="77777777" w:rsidR="00097FD6" w:rsidRDefault="00097FD6" w:rsidP="00097FD6">
      <w:pPr>
        <w:pStyle w:val="ListParagraph"/>
        <w:ind w:left="1080" w:right="386"/>
        <w:rPr>
          <w:rFonts w:cs="Arial"/>
          <w:color w:val="000000" w:themeColor="text1"/>
          <w:lang w:eastAsia="en-GB"/>
        </w:rPr>
      </w:pPr>
    </w:p>
    <w:p w14:paraId="2651A77D" w14:textId="77777777" w:rsidR="00097FD6" w:rsidRDefault="00097FD6" w:rsidP="00097FD6">
      <w:pPr>
        <w:pStyle w:val="ListParagraph"/>
        <w:ind w:left="1080" w:right="386"/>
        <w:rPr>
          <w:rFonts w:cs="Arial"/>
        </w:rPr>
      </w:pPr>
    </w:p>
    <w:p w14:paraId="49448A93" w14:textId="77777777" w:rsidR="00097FD6" w:rsidRDefault="00097FD6" w:rsidP="00097FD6">
      <w:pPr>
        <w:pStyle w:val="ListParagraph"/>
        <w:ind w:left="1080" w:right="386"/>
        <w:rPr>
          <w:rFonts w:cs="Arial"/>
        </w:rPr>
      </w:pPr>
    </w:p>
    <w:p w14:paraId="44FF24D1" w14:textId="0E24ED08" w:rsidR="00E10AB6" w:rsidRPr="00B96FC0" w:rsidRDefault="00E10AB6" w:rsidP="002818A7">
      <w:pPr>
        <w:pStyle w:val="ListParagraph"/>
        <w:ind w:left="1080" w:right="386"/>
        <w:rPr>
          <w:rFonts w:cs="Arial"/>
          <w:highlight w:val="yellow"/>
        </w:rPr>
      </w:pPr>
    </w:p>
    <w:p w14:paraId="70CB6D6E" w14:textId="02678895" w:rsidR="001959CE" w:rsidRPr="00B96FC0" w:rsidRDefault="001959CE" w:rsidP="07CBB4C4">
      <w:pPr>
        <w:ind w:right="386"/>
        <w:rPr>
          <w:rFonts w:cs="Arial"/>
          <w:b/>
          <w:bCs/>
        </w:rPr>
      </w:pPr>
      <w:r w:rsidRPr="6F9FB908">
        <w:rPr>
          <w:rFonts w:cs="Arial"/>
          <w:b/>
          <w:bCs/>
        </w:rPr>
        <w:t>Service Reductions</w:t>
      </w:r>
    </w:p>
    <w:p w14:paraId="12A75BDE" w14:textId="3A724C1D" w:rsidR="3274C890" w:rsidRDefault="3274C890" w:rsidP="07CBB4C4">
      <w:pPr>
        <w:ind w:right="386"/>
        <w:rPr>
          <w:rFonts w:cs="Arial"/>
          <w:b/>
          <w:bCs/>
        </w:rPr>
      </w:pPr>
    </w:p>
    <w:p w14:paraId="4791E9F7" w14:textId="11811A64" w:rsidR="0047660F" w:rsidRPr="00B96FC0" w:rsidRDefault="00792100" w:rsidP="009046B9">
      <w:pPr>
        <w:pStyle w:val="ListParagraph"/>
        <w:numPr>
          <w:ilvl w:val="0"/>
          <w:numId w:val="41"/>
        </w:numPr>
        <w:ind w:left="426" w:right="386" w:hanging="426"/>
        <w:rPr>
          <w:rFonts w:cs="Arial"/>
        </w:rPr>
      </w:pPr>
      <w:r w:rsidRPr="6F9FB908">
        <w:rPr>
          <w:rFonts w:cs="Arial"/>
        </w:rPr>
        <w:t>Regrettably, as highlighted above, the City Council simply does not have funds to maintain all areas of discretionary expenditure without additional government support.  We will press the case strongly for additional support to be forthcoming.  However, as things stand, t</w:t>
      </w:r>
      <w:r w:rsidR="00497284" w:rsidRPr="6F9FB908">
        <w:rPr>
          <w:rFonts w:cs="Arial"/>
        </w:rPr>
        <w:t xml:space="preserve">here are </w:t>
      </w:r>
      <w:proofErr w:type="gramStart"/>
      <w:r w:rsidR="00497284" w:rsidRPr="6F9FB908">
        <w:rPr>
          <w:rFonts w:cs="Arial"/>
        </w:rPr>
        <w:t>a number of</w:t>
      </w:r>
      <w:proofErr w:type="gramEnd"/>
      <w:r w:rsidR="00497284" w:rsidRPr="6F9FB908">
        <w:rPr>
          <w:rFonts w:cs="Arial"/>
        </w:rPr>
        <w:t xml:space="preserve"> service reductions which have been included in the budget as follows:</w:t>
      </w:r>
    </w:p>
    <w:p w14:paraId="58EF6B42" w14:textId="77777777" w:rsidR="001959CE" w:rsidRPr="00B96FC0" w:rsidRDefault="001959CE" w:rsidP="07CBB4C4">
      <w:pPr>
        <w:ind w:right="386"/>
        <w:rPr>
          <w:rFonts w:cs="Arial"/>
        </w:rPr>
      </w:pPr>
    </w:p>
    <w:p w14:paraId="3A6A1021" w14:textId="452F6916" w:rsidR="093A5BD4" w:rsidRDefault="3C0508A5" w:rsidP="009046B9">
      <w:pPr>
        <w:pStyle w:val="ListParagraph"/>
        <w:numPr>
          <w:ilvl w:val="0"/>
          <w:numId w:val="37"/>
        </w:numPr>
        <w:ind w:right="386"/>
        <w:rPr>
          <w:rFonts w:cs="Arial"/>
          <w:color w:val="000000" w:themeColor="text1"/>
          <w:lang w:eastAsia="en-GB"/>
        </w:rPr>
      </w:pPr>
      <w:r w:rsidRPr="6F9FB908">
        <w:rPr>
          <w:rFonts w:cs="Arial"/>
          <w:b/>
          <w:bCs/>
          <w:color w:val="000000" w:themeColor="text1"/>
          <w:lang w:eastAsia="en-GB"/>
        </w:rPr>
        <w:t>International Links - £50k per annum</w:t>
      </w:r>
      <w:r w:rsidR="6E7C5358" w:rsidRPr="6F9FB908">
        <w:rPr>
          <w:rFonts w:cs="Arial"/>
          <w:b/>
          <w:bCs/>
          <w:color w:val="000000" w:themeColor="text1"/>
          <w:lang w:eastAsia="en-GB"/>
        </w:rPr>
        <w:t xml:space="preserve"> </w:t>
      </w:r>
      <w:r w:rsidR="7F615F59" w:rsidRPr="6F9FB908">
        <w:rPr>
          <w:rFonts w:cs="Arial"/>
          <w:b/>
          <w:bCs/>
          <w:color w:val="000000" w:themeColor="text1"/>
          <w:lang w:eastAsia="en-GB"/>
        </w:rPr>
        <w:t>fr</w:t>
      </w:r>
      <w:r w:rsidR="54ABB31D" w:rsidRPr="6F9FB908">
        <w:rPr>
          <w:rFonts w:cs="Arial"/>
          <w:b/>
          <w:bCs/>
          <w:color w:val="000000" w:themeColor="text1"/>
          <w:lang w:eastAsia="en-GB"/>
        </w:rPr>
        <w:t>o</w:t>
      </w:r>
      <w:r w:rsidR="7F615F59" w:rsidRPr="6F9FB908">
        <w:rPr>
          <w:rFonts w:cs="Arial"/>
          <w:b/>
          <w:bCs/>
          <w:color w:val="000000" w:themeColor="text1"/>
          <w:lang w:eastAsia="en-GB"/>
        </w:rPr>
        <w:t>m 2026-27</w:t>
      </w:r>
      <w:r w:rsidR="6E7C5358" w:rsidRPr="6F9FB908">
        <w:rPr>
          <w:rFonts w:cs="Arial"/>
          <w:b/>
          <w:bCs/>
          <w:color w:val="000000" w:themeColor="text1"/>
          <w:lang w:eastAsia="en-GB"/>
        </w:rPr>
        <w:t>–</w:t>
      </w:r>
      <w:r w:rsidR="6E7C5358" w:rsidRPr="6F9FB908">
        <w:rPr>
          <w:rFonts w:cs="Arial"/>
          <w:color w:val="000000" w:themeColor="text1"/>
          <w:lang w:eastAsia="en-GB"/>
        </w:rPr>
        <w:t xml:space="preserve"> </w:t>
      </w:r>
      <w:r w:rsidR="00687451">
        <w:rPr>
          <w:rFonts w:cs="Arial"/>
          <w:color w:val="000000" w:themeColor="text1"/>
          <w:lang w:eastAsia="en-GB"/>
        </w:rPr>
        <w:t xml:space="preserve">This will </w:t>
      </w:r>
      <w:r w:rsidR="008A74E4">
        <w:rPr>
          <w:rFonts w:cs="Arial"/>
          <w:color w:val="000000" w:themeColor="text1"/>
          <w:lang w:eastAsia="en-GB"/>
        </w:rPr>
        <w:t xml:space="preserve">scale back the work </w:t>
      </w:r>
      <w:r w:rsidR="00687451">
        <w:rPr>
          <w:rFonts w:cs="Arial"/>
          <w:color w:val="000000" w:themeColor="text1"/>
          <w:lang w:eastAsia="en-GB"/>
        </w:rPr>
        <w:t>in this area of Council work; it will be reviewed alongside the Civic Office and Events to understand the optimum structure of relevant teams and what work can be afforded.</w:t>
      </w:r>
    </w:p>
    <w:p w14:paraId="7BE02BB1" w14:textId="5C1FFA17" w:rsidR="093A5BD4" w:rsidRDefault="093A5BD4" w:rsidP="009046B9">
      <w:pPr>
        <w:pStyle w:val="ListParagraph"/>
        <w:numPr>
          <w:ilvl w:val="0"/>
          <w:numId w:val="37"/>
        </w:numPr>
        <w:ind w:right="386"/>
        <w:rPr>
          <w:rFonts w:cs="Arial"/>
          <w:color w:val="000000" w:themeColor="text1"/>
          <w:lang w:eastAsia="en-GB"/>
        </w:rPr>
      </w:pPr>
      <w:r w:rsidRPr="6F9FB908">
        <w:rPr>
          <w:rFonts w:cs="Arial"/>
          <w:b/>
          <w:bCs/>
          <w:color w:val="000000" w:themeColor="text1"/>
          <w:lang w:eastAsia="en-GB"/>
        </w:rPr>
        <w:t>Grants to advice centres - £44k per annum</w:t>
      </w:r>
      <w:r w:rsidR="00F76BF5">
        <w:rPr>
          <w:rFonts w:cs="Arial"/>
          <w:b/>
          <w:bCs/>
          <w:color w:val="000000" w:themeColor="text1"/>
          <w:lang w:eastAsia="en-GB"/>
        </w:rPr>
        <w:t xml:space="preserve"> from 2026-27</w:t>
      </w:r>
      <w:r w:rsidR="5393F663" w:rsidRPr="6F9FB908">
        <w:rPr>
          <w:rFonts w:cs="Arial"/>
          <w:b/>
          <w:bCs/>
          <w:color w:val="000000" w:themeColor="text1"/>
          <w:lang w:eastAsia="en-GB"/>
        </w:rPr>
        <w:t>.</w:t>
      </w:r>
      <w:r w:rsidR="5393F663" w:rsidRPr="6F9FB908">
        <w:rPr>
          <w:rFonts w:cs="Arial"/>
          <w:color w:val="000000" w:themeColor="text1"/>
          <w:lang w:eastAsia="en-GB"/>
        </w:rPr>
        <w:t xml:space="preserve"> The base budget spent by the council on commissioning Housing Advice is £448k per annum. This would represent a 10% reduction</w:t>
      </w:r>
      <w:r w:rsidR="00687451">
        <w:rPr>
          <w:rFonts w:cs="Arial"/>
          <w:color w:val="000000" w:themeColor="text1"/>
          <w:lang w:eastAsia="en-GB"/>
        </w:rPr>
        <w:t>, which we hope will be recouped by the advice sector looking to reduce its overall operating costs.</w:t>
      </w:r>
    </w:p>
    <w:p w14:paraId="2938B093" w14:textId="47FE18C8" w:rsidR="093A5BD4" w:rsidRDefault="093A5BD4" w:rsidP="009046B9">
      <w:pPr>
        <w:pStyle w:val="ListParagraph"/>
        <w:numPr>
          <w:ilvl w:val="0"/>
          <w:numId w:val="37"/>
        </w:numPr>
        <w:ind w:right="386"/>
        <w:rPr>
          <w:rFonts w:cs="Arial"/>
          <w:color w:val="000000" w:themeColor="text1"/>
          <w:lang w:eastAsia="en-GB"/>
        </w:rPr>
      </w:pPr>
      <w:r w:rsidRPr="07CBB4C4">
        <w:rPr>
          <w:rFonts w:cs="Arial"/>
          <w:b/>
          <w:bCs/>
          <w:color w:val="000000" w:themeColor="text1"/>
          <w:lang w:eastAsia="en-GB"/>
        </w:rPr>
        <w:t>Ward memb</w:t>
      </w:r>
      <w:r w:rsidR="075998E1" w:rsidRPr="07CBB4C4">
        <w:rPr>
          <w:rFonts w:cs="Arial"/>
          <w:b/>
          <w:bCs/>
          <w:color w:val="000000" w:themeColor="text1"/>
          <w:lang w:eastAsia="en-GB"/>
        </w:rPr>
        <w:t>e</w:t>
      </w:r>
      <w:r w:rsidRPr="07CBB4C4">
        <w:rPr>
          <w:rFonts w:cs="Arial"/>
          <w:b/>
          <w:bCs/>
          <w:color w:val="000000" w:themeColor="text1"/>
          <w:lang w:eastAsia="en-GB"/>
        </w:rPr>
        <w:t>r grants - £72k per annum</w:t>
      </w:r>
      <w:r w:rsidR="020413E1" w:rsidRPr="07CBB4C4">
        <w:rPr>
          <w:rFonts w:cs="Arial"/>
          <w:b/>
          <w:bCs/>
          <w:color w:val="000000" w:themeColor="text1"/>
          <w:lang w:eastAsia="en-GB"/>
        </w:rPr>
        <w:t>.</w:t>
      </w:r>
      <w:r w:rsidR="020413E1" w:rsidRPr="07CBB4C4">
        <w:rPr>
          <w:rFonts w:cs="Arial"/>
          <w:color w:val="000000" w:themeColor="text1"/>
          <w:lang w:eastAsia="en-GB"/>
        </w:rPr>
        <w:t xml:space="preserve"> Ward members </w:t>
      </w:r>
      <w:r w:rsidR="00F76BF5">
        <w:rPr>
          <w:rFonts w:cs="Arial"/>
          <w:color w:val="000000" w:themeColor="text1"/>
          <w:lang w:eastAsia="en-GB"/>
        </w:rPr>
        <w:t>have hitherto been</w:t>
      </w:r>
      <w:r w:rsidR="00F76BF5" w:rsidRPr="07CBB4C4">
        <w:rPr>
          <w:rFonts w:cs="Arial"/>
          <w:color w:val="000000" w:themeColor="text1"/>
          <w:lang w:eastAsia="en-GB"/>
        </w:rPr>
        <w:t xml:space="preserve"> </w:t>
      </w:r>
      <w:r w:rsidR="020413E1" w:rsidRPr="07CBB4C4">
        <w:rPr>
          <w:rFonts w:cs="Arial"/>
          <w:color w:val="000000" w:themeColor="text1"/>
          <w:lang w:eastAsia="en-GB"/>
        </w:rPr>
        <w:t>given an amount of £</w:t>
      </w:r>
      <w:r w:rsidR="245FE41A" w:rsidRPr="1EDB5DC6">
        <w:rPr>
          <w:rFonts w:cs="Arial"/>
          <w:color w:val="000000" w:themeColor="text1"/>
          <w:lang w:eastAsia="en-GB"/>
        </w:rPr>
        <w:t>1</w:t>
      </w:r>
      <w:r w:rsidR="129893B1" w:rsidRPr="1EDB5DC6">
        <w:rPr>
          <w:rFonts w:cs="Arial"/>
          <w:color w:val="000000" w:themeColor="text1"/>
          <w:lang w:eastAsia="en-GB"/>
        </w:rPr>
        <w:t>,</w:t>
      </w:r>
      <w:r w:rsidR="245FE41A" w:rsidRPr="1EDB5DC6">
        <w:rPr>
          <w:rFonts w:cs="Arial"/>
          <w:color w:val="000000" w:themeColor="text1"/>
          <w:lang w:eastAsia="en-GB"/>
        </w:rPr>
        <w:t>500</w:t>
      </w:r>
      <w:r w:rsidR="020413E1" w:rsidRPr="07CBB4C4">
        <w:rPr>
          <w:rFonts w:cs="Arial"/>
          <w:color w:val="000000" w:themeColor="text1"/>
          <w:lang w:eastAsia="en-GB"/>
        </w:rPr>
        <w:t xml:space="preserve"> each in addition to ward member </w:t>
      </w:r>
      <w:r w:rsidR="00687451">
        <w:rPr>
          <w:rFonts w:cs="Arial"/>
          <w:color w:val="000000" w:themeColor="text1"/>
          <w:lang w:eastAsia="en-GB"/>
        </w:rPr>
        <w:t xml:space="preserve">Neighbourhood Community Infrastructure </w:t>
      </w:r>
      <w:r w:rsidR="00030608">
        <w:rPr>
          <w:rFonts w:cs="Arial"/>
          <w:color w:val="000000" w:themeColor="text1"/>
          <w:lang w:eastAsia="en-GB"/>
        </w:rPr>
        <w:t>Levy (NCIL)p</w:t>
      </w:r>
      <w:r w:rsidR="00687451">
        <w:rPr>
          <w:rFonts w:cs="Arial"/>
          <w:color w:val="000000" w:themeColor="text1"/>
          <w:lang w:eastAsia="en-GB"/>
        </w:rPr>
        <w:t>ayment</w:t>
      </w:r>
      <w:r w:rsidR="00687451" w:rsidRPr="07CBB4C4">
        <w:rPr>
          <w:rFonts w:cs="Arial"/>
          <w:color w:val="000000" w:themeColor="text1"/>
          <w:lang w:eastAsia="en-GB"/>
        </w:rPr>
        <w:t xml:space="preserve"> </w:t>
      </w:r>
      <w:r w:rsidR="020413E1" w:rsidRPr="07CBB4C4">
        <w:rPr>
          <w:rFonts w:cs="Arial"/>
          <w:color w:val="000000" w:themeColor="text1"/>
          <w:lang w:eastAsia="en-GB"/>
        </w:rPr>
        <w:t xml:space="preserve">of </w:t>
      </w:r>
      <w:r w:rsidR="245FE41A" w:rsidRPr="1EDB5DC6">
        <w:rPr>
          <w:rFonts w:cs="Arial"/>
          <w:color w:val="000000" w:themeColor="text1"/>
          <w:lang w:eastAsia="en-GB"/>
        </w:rPr>
        <w:t>£</w:t>
      </w:r>
      <w:r w:rsidR="5DFC2480" w:rsidRPr="1EDB5DC6">
        <w:rPr>
          <w:rFonts w:cs="Arial"/>
          <w:color w:val="000000" w:themeColor="text1"/>
          <w:lang w:eastAsia="en-GB"/>
        </w:rPr>
        <w:t xml:space="preserve">2,500 </w:t>
      </w:r>
      <w:r w:rsidR="008009B9" w:rsidRPr="1EDB5DC6">
        <w:rPr>
          <w:rFonts w:cs="Arial"/>
          <w:color w:val="000000" w:themeColor="text1"/>
          <w:lang w:eastAsia="en-GB"/>
        </w:rPr>
        <w:t>i</w:t>
      </w:r>
      <w:r w:rsidR="008009B9" w:rsidRPr="07CBB4C4">
        <w:rPr>
          <w:rFonts w:cs="Arial"/>
          <w:color w:val="000000" w:themeColor="text1"/>
          <w:lang w:eastAsia="en-GB"/>
        </w:rPr>
        <w:t>.e.</w:t>
      </w:r>
      <w:r w:rsidR="020413E1" w:rsidRPr="07CBB4C4">
        <w:rPr>
          <w:rFonts w:cs="Arial"/>
          <w:color w:val="000000" w:themeColor="text1"/>
          <w:lang w:eastAsia="en-GB"/>
        </w:rPr>
        <w:t xml:space="preserve"> an amo</w:t>
      </w:r>
      <w:r w:rsidR="020413E1" w:rsidRPr="1EDB5DC6">
        <w:rPr>
          <w:rFonts w:cs="Arial"/>
          <w:color w:val="000000" w:themeColor="text1"/>
          <w:lang w:eastAsia="en-GB"/>
        </w:rPr>
        <w:t xml:space="preserve">unt of </w:t>
      </w:r>
      <w:r w:rsidR="245FE41A" w:rsidRPr="1EDB5DC6">
        <w:rPr>
          <w:rFonts w:cs="Arial"/>
          <w:color w:val="000000" w:themeColor="text1"/>
          <w:lang w:eastAsia="en-GB"/>
        </w:rPr>
        <w:t>£</w:t>
      </w:r>
      <w:r w:rsidR="0F61E9C0" w:rsidRPr="1EDB5DC6">
        <w:rPr>
          <w:rFonts w:cs="Arial"/>
          <w:color w:val="000000" w:themeColor="text1"/>
          <w:lang w:eastAsia="en-GB"/>
        </w:rPr>
        <w:t>152k per</w:t>
      </w:r>
      <w:r w:rsidR="020413E1" w:rsidRPr="1EDB5DC6">
        <w:rPr>
          <w:rFonts w:cs="Arial"/>
          <w:color w:val="000000" w:themeColor="text1"/>
          <w:lang w:eastAsia="en-GB"/>
        </w:rPr>
        <w:t xml:space="preserve"> annum</w:t>
      </w:r>
      <w:r w:rsidR="749F143A" w:rsidRPr="07CBB4C4">
        <w:rPr>
          <w:rFonts w:cs="Arial"/>
          <w:color w:val="000000" w:themeColor="text1"/>
          <w:lang w:eastAsia="en-GB"/>
        </w:rPr>
        <w:t xml:space="preserve">. </w:t>
      </w:r>
      <w:r w:rsidR="00030608">
        <w:rPr>
          <w:rFonts w:cs="Arial"/>
          <w:color w:val="000000" w:themeColor="text1"/>
          <w:lang w:eastAsia="en-GB"/>
        </w:rPr>
        <w:t xml:space="preserve">(48 councillors * £1500 and 32 councillors * £2500, with no payment of NCIL to councillors in the following </w:t>
      </w:r>
      <w:r w:rsidR="00030608">
        <w:rPr>
          <w:rFonts w:cs="Arial"/>
          <w:color w:val="000000" w:themeColor="text1"/>
          <w:lang w:eastAsia="en-GB"/>
        </w:rPr>
        <w:lastRenderedPageBreak/>
        <w:t xml:space="preserve">wards, Blackbird Leys, Cutteslowe, Headington, Littlemore, Northfield, Quarry, Summertown and </w:t>
      </w:r>
      <w:proofErr w:type="gramStart"/>
      <w:r w:rsidR="00030608">
        <w:rPr>
          <w:rFonts w:cs="Arial"/>
          <w:color w:val="000000" w:themeColor="text1"/>
          <w:lang w:eastAsia="en-GB"/>
        </w:rPr>
        <w:t>Wolvercote )</w:t>
      </w:r>
      <w:proofErr w:type="gramEnd"/>
      <w:r w:rsidR="00030608">
        <w:rPr>
          <w:rFonts w:cs="Arial"/>
          <w:color w:val="000000" w:themeColor="text1"/>
          <w:lang w:eastAsia="en-GB"/>
        </w:rPr>
        <w:t xml:space="preserve"> </w:t>
      </w:r>
      <w:r w:rsidR="749F143A" w:rsidRPr="07CBB4C4">
        <w:rPr>
          <w:rFonts w:cs="Arial"/>
          <w:color w:val="000000" w:themeColor="text1"/>
          <w:lang w:eastAsia="en-GB"/>
        </w:rPr>
        <w:t xml:space="preserve">Cessation of the ward member grants </w:t>
      </w:r>
      <w:r w:rsidR="006734EF">
        <w:rPr>
          <w:rFonts w:cs="Arial"/>
          <w:color w:val="000000" w:themeColor="text1"/>
          <w:lang w:eastAsia="en-GB"/>
        </w:rPr>
        <w:t>is</w:t>
      </w:r>
      <w:r w:rsidR="006734EF" w:rsidRPr="07CBB4C4">
        <w:rPr>
          <w:rFonts w:cs="Arial"/>
          <w:color w:val="000000" w:themeColor="text1"/>
          <w:lang w:eastAsia="en-GB"/>
        </w:rPr>
        <w:t xml:space="preserve"> </w:t>
      </w:r>
      <w:r w:rsidR="749F143A" w:rsidRPr="07CBB4C4">
        <w:rPr>
          <w:rFonts w:cs="Arial"/>
          <w:color w:val="000000" w:themeColor="text1"/>
          <w:lang w:eastAsia="en-GB"/>
        </w:rPr>
        <w:t>proposed</w:t>
      </w:r>
      <w:r w:rsidR="006734EF">
        <w:rPr>
          <w:rFonts w:cs="Arial"/>
          <w:color w:val="000000" w:themeColor="text1"/>
          <w:lang w:eastAsia="en-GB"/>
        </w:rPr>
        <w:t>, as they are no longer affordable in the current climate.</w:t>
      </w:r>
    </w:p>
    <w:p w14:paraId="31B67532" w14:textId="4733E2AF" w:rsidR="093A5BD4" w:rsidRDefault="093A5BD4" w:rsidP="009046B9">
      <w:pPr>
        <w:pStyle w:val="ListParagraph"/>
        <w:numPr>
          <w:ilvl w:val="0"/>
          <w:numId w:val="37"/>
        </w:numPr>
        <w:ind w:right="386"/>
        <w:rPr>
          <w:rFonts w:cs="Arial"/>
          <w:color w:val="000000" w:themeColor="text1"/>
          <w:lang w:eastAsia="en-GB"/>
        </w:rPr>
      </w:pPr>
      <w:r w:rsidRPr="07CBB4C4">
        <w:rPr>
          <w:rFonts w:cs="Arial"/>
          <w:b/>
          <w:bCs/>
          <w:color w:val="000000" w:themeColor="text1"/>
          <w:lang w:eastAsia="en-GB"/>
        </w:rPr>
        <w:t>Modern Art Oxford - £25k per annum</w:t>
      </w:r>
      <w:r w:rsidR="26B32150" w:rsidRPr="07CBB4C4">
        <w:rPr>
          <w:rFonts w:cs="Arial"/>
          <w:b/>
          <w:bCs/>
          <w:color w:val="000000" w:themeColor="text1"/>
          <w:lang w:eastAsia="en-GB"/>
        </w:rPr>
        <w:t>.</w:t>
      </w:r>
      <w:r w:rsidR="26B32150" w:rsidRPr="07CBB4C4">
        <w:rPr>
          <w:rFonts w:cs="Arial"/>
          <w:color w:val="000000" w:themeColor="text1"/>
          <w:lang w:eastAsia="en-GB"/>
        </w:rPr>
        <w:t xml:space="preserve"> This reduction represents 50-% of the grant</w:t>
      </w:r>
      <w:r w:rsidR="006734EF">
        <w:rPr>
          <w:rFonts w:cs="Arial"/>
          <w:color w:val="000000" w:themeColor="text1"/>
          <w:lang w:eastAsia="en-GB"/>
        </w:rPr>
        <w:t>, which covers the cost of premises, and the organisation is asked to pay a larger proportion of its rent.</w:t>
      </w:r>
    </w:p>
    <w:p w14:paraId="781E6824" w14:textId="3855E8AD" w:rsidR="093A5BD4" w:rsidRDefault="093A5BD4" w:rsidP="009046B9">
      <w:pPr>
        <w:pStyle w:val="ListParagraph"/>
        <w:numPr>
          <w:ilvl w:val="0"/>
          <w:numId w:val="37"/>
        </w:numPr>
        <w:ind w:right="386"/>
        <w:rPr>
          <w:rFonts w:cs="Arial"/>
          <w:color w:val="000000" w:themeColor="text1"/>
          <w:lang w:eastAsia="en-GB"/>
        </w:rPr>
      </w:pPr>
      <w:r w:rsidRPr="07CBB4C4">
        <w:rPr>
          <w:rFonts w:cs="Arial"/>
          <w:b/>
          <w:bCs/>
          <w:color w:val="000000" w:themeColor="text1"/>
          <w:lang w:eastAsia="en-GB"/>
        </w:rPr>
        <w:t>Big Ideas Grants - £9k per annum</w:t>
      </w:r>
      <w:r w:rsidR="541E3E6F" w:rsidRPr="07CBB4C4">
        <w:rPr>
          <w:rFonts w:cs="Arial"/>
          <w:b/>
          <w:bCs/>
          <w:color w:val="000000" w:themeColor="text1"/>
          <w:lang w:eastAsia="en-GB"/>
        </w:rPr>
        <w:t xml:space="preserve">. </w:t>
      </w:r>
      <w:r w:rsidR="541E3E6F" w:rsidRPr="07CBB4C4">
        <w:rPr>
          <w:rFonts w:cs="Arial"/>
          <w:color w:val="000000" w:themeColor="text1"/>
          <w:lang w:eastAsia="en-GB"/>
        </w:rPr>
        <w:t>The big ideas grant fund totals £338k per annum and is used to provide 3</w:t>
      </w:r>
      <w:r w:rsidR="228BC4F9" w:rsidRPr="1EDB5DC6">
        <w:rPr>
          <w:rFonts w:cs="Arial"/>
          <w:color w:val="000000" w:themeColor="text1"/>
          <w:lang w:eastAsia="en-GB"/>
        </w:rPr>
        <w:t>-</w:t>
      </w:r>
      <w:r w:rsidR="541E3E6F" w:rsidRPr="07CBB4C4">
        <w:rPr>
          <w:rFonts w:cs="Arial"/>
          <w:color w:val="000000" w:themeColor="text1"/>
          <w:lang w:eastAsia="en-GB"/>
        </w:rPr>
        <w:t>year funding to 36 strategic partners which is used as s</w:t>
      </w:r>
      <w:r w:rsidR="69C1A2EE" w:rsidRPr="07CBB4C4">
        <w:rPr>
          <w:rFonts w:cs="Arial"/>
          <w:color w:val="000000" w:themeColor="text1"/>
          <w:lang w:eastAsia="en-GB"/>
        </w:rPr>
        <w:t>eed funding for additional monies. A modest reduction of 2.6% is proposed.</w:t>
      </w:r>
    </w:p>
    <w:p w14:paraId="71ECAF3E" w14:textId="186970AD" w:rsidR="002D5926" w:rsidRPr="00B96FC0" w:rsidRDefault="002D5926" w:rsidP="009046B9">
      <w:pPr>
        <w:pStyle w:val="ListParagraph"/>
        <w:numPr>
          <w:ilvl w:val="0"/>
          <w:numId w:val="37"/>
        </w:numPr>
        <w:ind w:right="386"/>
        <w:rPr>
          <w:rFonts w:cs="Arial"/>
        </w:rPr>
      </w:pPr>
      <w:r w:rsidRPr="07CBB4C4">
        <w:rPr>
          <w:rFonts w:cs="Arial"/>
          <w:b/>
          <w:bCs/>
        </w:rPr>
        <w:t>Empty Homes -</w:t>
      </w:r>
      <w:r w:rsidRPr="07CBB4C4">
        <w:rPr>
          <w:rFonts w:cs="Arial"/>
        </w:rPr>
        <w:t xml:space="preserve"> </w:t>
      </w:r>
      <w:r w:rsidRPr="07CBB4C4">
        <w:rPr>
          <w:rFonts w:cs="Arial"/>
          <w:b/>
          <w:bCs/>
        </w:rPr>
        <w:t>£37k from year 2-</w:t>
      </w:r>
      <w:r w:rsidRPr="07CBB4C4">
        <w:rPr>
          <w:rFonts w:cs="Arial"/>
        </w:rPr>
        <w:t xml:space="preserve"> </w:t>
      </w:r>
      <w:r w:rsidR="006734EF">
        <w:rPr>
          <w:rFonts w:cs="Arial"/>
        </w:rPr>
        <w:t>The proposal is to scale back work in this area because of the relatively low number of empty properties in Oxford which can be addressed by Council action.</w:t>
      </w:r>
    </w:p>
    <w:p w14:paraId="3483AD3B" w14:textId="4CB52D77" w:rsidR="07CBB4C4" w:rsidRDefault="07CBB4C4" w:rsidP="07CBB4C4">
      <w:pPr>
        <w:pStyle w:val="ListParagraph"/>
        <w:ind w:left="1080" w:right="386"/>
        <w:rPr>
          <w:rFonts w:cs="Arial"/>
          <w:highlight w:val="yellow"/>
        </w:rPr>
      </w:pPr>
    </w:p>
    <w:p w14:paraId="75335324" w14:textId="058C0394" w:rsidR="00010B1F" w:rsidRPr="00B96FC0" w:rsidRDefault="00010B1F" w:rsidP="00A176AE">
      <w:pPr>
        <w:tabs>
          <w:tab w:val="left" w:pos="540"/>
        </w:tabs>
        <w:ind w:right="386"/>
        <w:rPr>
          <w:rFonts w:cs="Arial"/>
          <w:b/>
        </w:rPr>
      </w:pPr>
      <w:r w:rsidRPr="2AEBD62E">
        <w:rPr>
          <w:rFonts w:cs="Arial"/>
          <w:b/>
        </w:rPr>
        <w:t xml:space="preserve">Transformation </w:t>
      </w:r>
      <w:r w:rsidR="00AA5C0D" w:rsidRPr="2AEBD62E">
        <w:rPr>
          <w:rFonts w:cs="Arial"/>
          <w:b/>
        </w:rPr>
        <w:t>– ‘Fit for the Future’ Programme</w:t>
      </w:r>
    </w:p>
    <w:p w14:paraId="4D097833" w14:textId="77777777" w:rsidR="00010B1F" w:rsidRPr="00B96FC0" w:rsidRDefault="00010B1F" w:rsidP="00A176AE">
      <w:pPr>
        <w:tabs>
          <w:tab w:val="left" w:pos="540"/>
        </w:tabs>
        <w:ind w:right="386"/>
        <w:rPr>
          <w:rFonts w:cs="Arial"/>
          <w:b/>
        </w:rPr>
      </w:pPr>
    </w:p>
    <w:p w14:paraId="7F551A8F" w14:textId="7CF66E35" w:rsidR="00010B1F" w:rsidRPr="00B96FC0" w:rsidRDefault="00F31C7C" w:rsidP="009046B9">
      <w:pPr>
        <w:pStyle w:val="ListParagraph"/>
        <w:numPr>
          <w:ilvl w:val="0"/>
          <w:numId w:val="42"/>
        </w:numPr>
        <w:ind w:left="426" w:right="386" w:hanging="426"/>
        <w:rPr>
          <w:rFonts w:cs="Arial"/>
        </w:rPr>
      </w:pPr>
      <w:r w:rsidRPr="6F9FB908">
        <w:rPr>
          <w:rFonts w:cs="Arial"/>
        </w:rPr>
        <w:t xml:space="preserve">The </w:t>
      </w:r>
      <w:r w:rsidR="00025407" w:rsidRPr="6F9FB908">
        <w:rPr>
          <w:rFonts w:cs="Arial"/>
        </w:rPr>
        <w:t xml:space="preserve">Council </w:t>
      </w:r>
      <w:r w:rsidRPr="6F9FB908">
        <w:rPr>
          <w:rFonts w:cs="Arial"/>
        </w:rPr>
        <w:t xml:space="preserve">continues to make progress towards efficiencies </w:t>
      </w:r>
      <w:r w:rsidR="00287A48" w:rsidRPr="6F9FB908">
        <w:rPr>
          <w:rFonts w:cs="Arial"/>
        </w:rPr>
        <w:t>delivered through its</w:t>
      </w:r>
      <w:r w:rsidRPr="6F9FB908">
        <w:rPr>
          <w:rFonts w:cs="Arial"/>
        </w:rPr>
        <w:t xml:space="preserve"> Fit for the Future Programme</w:t>
      </w:r>
      <w:r w:rsidR="00025407" w:rsidRPr="6F9FB908">
        <w:rPr>
          <w:rFonts w:cs="Arial"/>
        </w:rPr>
        <w:t xml:space="preserve">. Areas being </w:t>
      </w:r>
      <w:r w:rsidR="00287A48" w:rsidRPr="6F9FB908">
        <w:rPr>
          <w:rFonts w:cs="Arial"/>
        </w:rPr>
        <w:t>of focus</w:t>
      </w:r>
      <w:r w:rsidR="00025407" w:rsidRPr="6F9FB908">
        <w:rPr>
          <w:rFonts w:cs="Arial"/>
        </w:rPr>
        <w:t xml:space="preserve"> </w:t>
      </w:r>
      <w:r w:rsidRPr="6F9FB908">
        <w:rPr>
          <w:rFonts w:cs="Arial"/>
        </w:rPr>
        <w:t xml:space="preserve">previously </w:t>
      </w:r>
      <w:r w:rsidR="46DC699E" w:rsidRPr="6F9FB908">
        <w:rPr>
          <w:rFonts w:cs="Arial"/>
        </w:rPr>
        <w:t>identified:</w:t>
      </w:r>
    </w:p>
    <w:p w14:paraId="7EE8DE93" w14:textId="77777777" w:rsidR="00025407" w:rsidRPr="00B96FC0" w:rsidRDefault="00025407" w:rsidP="00A176AE">
      <w:pPr>
        <w:tabs>
          <w:tab w:val="left" w:pos="540"/>
        </w:tabs>
        <w:ind w:right="386"/>
        <w:rPr>
          <w:rFonts w:cs="Arial"/>
        </w:rPr>
      </w:pPr>
    </w:p>
    <w:p w14:paraId="46AFACB5" w14:textId="6A64916D" w:rsidR="00025407" w:rsidRPr="00B96FC0" w:rsidRDefault="00025407" w:rsidP="009046B9">
      <w:pPr>
        <w:pStyle w:val="ListParagraph"/>
        <w:numPr>
          <w:ilvl w:val="0"/>
          <w:numId w:val="23"/>
        </w:numPr>
        <w:ind w:left="1701" w:right="386" w:hanging="436"/>
        <w:rPr>
          <w:rFonts w:cs="Arial"/>
        </w:rPr>
      </w:pPr>
      <w:r w:rsidRPr="1EDB5DC6">
        <w:rPr>
          <w:rFonts w:cs="Arial"/>
          <w:b/>
        </w:rPr>
        <w:t>Digit</w:t>
      </w:r>
      <w:r w:rsidR="00287A48" w:rsidRPr="1EDB5DC6">
        <w:rPr>
          <w:rFonts w:cs="Arial"/>
          <w:b/>
        </w:rPr>
        <w:t>al</w:t>
      </w:r>
      <w:r w:rsidRPr="1EDB5DC6">
        <w:rPr>
          <w:rFonts w:cs="Arial"/>
          <w:b/>
        </w:rPr>
        <w:t>isation of services</w:t>
      </w:r>
      <w:r w:rsidR="21FFB965" w:rsidRPr="1EDB5DC6">
        <w:rPr>
          <w:rFonts w:cs="Arial"/>
          <w:b/>
        </w:rPr>
        <w:t xml:space="preserve"> </w:t>
      </w:r>
      <w:r w:rsidR="21FFB965" w:rsidRPr="2AEBD62E">
        <w:rPr>
          <w:rFonts w:cs="Arial"/>
        </w:rPr>
        <w:t>and the moving to cloud</w:t>
      </w:r>
      <w:r w:rsidR="7FA09F62" w:rsidRPr="1EDB5DC6">
        <w:rPr>
          <w:rFonts w:cs="Arial"/>
        </w:rPr>
        <w:t>-</w:t>
      </w:r>
      <w:r w:rsidR="21FFB965" w:rsidRPr="2AEBD62E">
        <w:rPr>
          <w:rFonts w:cs="Arial"/>
        </w:rPr>
        <w:t>based technology</w:t>
      </w:r>
    </w:p>
    <w:p w14:paraId="12D50D38" w14:textId="068FFB6B" w:rsidR="003E0553" w:rsidRPr="00B96FC0" w:rsidRDefault="003E0553" w:rsidP="009046B9">
      <w:pPr>
        <w:pStyle w:val="ListParagraph"/>
        <w:numPr>
          <w:ilvl w:val="0"/>
          <w:numId w:val="23"/>
        </w:numPr>
        <w:ind w:left="1701" w:right="386" w:hanging="425"/>
        <w:rPr>
          <w:rFonts w:cs="Arial"/>
        </w:rPr>
      </w:pPr>
      <w:r w:rsidRPr="1EDB5DC6">
        <w:rPr>
          <w:rFonts w:cs="Arial"/>
          <w:b/>
        </w:rPr>
        <w:t>Rationalisation of office accommodation</w:t>
      </w:r>
      <w:r w:rsidRPr="07CBB4C4">
        <w:rPr>
          <w:rFonts w:cs="Arial"/>
        </w:rPr>
        <w:t xml:space="preserve"> and improved ways of working</w:t>
      </w:r>
      <w:r w:rsidR="5B23CFED" w:rsidRPr="07CBB4C4">
        <w:rPr>
          <w:rFonts w:cs="Arial"/>
        </w:rPr>
        <w:t xml:space="preserve"> </w:t>
      </w:r>
      <w:r w:rsidR="321CA067" w:rsidRPr="1EDB5DC6">
        <w:rPr>
          <w:rFonts w:cs="Arial"/>
        </w:rPr>
        <w:t>achieved</w:t>
      </w:r>
      <w:r w:rsidR="5B23CFED" w:rsidRPr="07CBB4C4">
        <w:rPr>
          <w:rFonts w:cs="Arial"/>
        </w:rPr>
        <w:t xml:space="preserve"> through the vacation of St Aldates Chambers with savings of </w:t>
      </w:r>
      <w:r w:rsidR="0410CC8C" w:rsidRPr="1EDB5DC6">
        <w:rPr>
          <w:rFonts w:cs="Arial"/>
        </w:rPr>
        <w:t>approximately</w:t>
      </w:r>
      <w:r w:rsidR="070ACBA1" w:rsidRPr="1EDB5DC6">
        <w:rPr>
          <w:rFonts w:cs="Arial"/>
        </w:rPr>
        <w:t xml:space="preserve"> </w:t>
      </w:r>
      <w:r w:rsidR="20723EE5" w:rsidRPr="1EDB5DC6">
        <w:rPr>
          <w:rFonts w:cs="Arial"/>
        </w:rPr>
        <w:t>£</w:t>
      </w:r>
      <w:r w:rsidR="743E5FB5" w:rsidRPr="1EDB5DC6">
        <w:rPr>
          <w:rFonts w:cs="Arial"/>
        </w:rPr>
        <w:t xml:space="preserve">1.4 million </w:t>
      </w:r>
      <w:r w:rsidR="664C2684" w:rsidRPr="1EDB5DC6">
        <w:rPr>
          <w:rFonts w:cs="Arial"/>
        </w:rPr>
        <w:t>p</w:t>
      </w:r>
      <w:r w:rsidR="20723EE5" w:rsidRPr="1EDB5DC6">
        <w:rPr>
          <w:rFonts w:cs="Arial"/>
        </w:rPr>
        <w:t>er</w:t>
      </w:r>
      <w:r w:rsidR="5B23CFED" w:rsidRPr="07CBB4C4">
        <w:rPr>
          <w:rFonts w:cs="Arial"/>
        </w:rPr>
        <w:t xml:space="preserve"> annum</w:t>
      </w:r>
      <w:r w:rsidR="252B5412" w:rsidRPr="1EDB5DC6">
        <w:rPr>
          <w:rFonts w:cs="Arial"/>
        </w:rPr>
        <w:t xml:space="preserve"> already </w:t>
      </w:r>
      <w:r w:rsidR="00344269" w:rsidRPr="1EDB5DC6">
        <w:rPr>
          <w:rFonts w:cs="Arial"/>
        </w:rPr>
        <w:t>achieved.</w:t>
      </w:r>
    </w:p>
    <w:p w14:paraId="5C81669B" w14:textId="58D399E4" w:rsidR="00025407" w:rsidRPr="00B96FC0" w:rsidRDefault="00025407" w:rsidP="009046B9">
      <w:pPr>
        <w:pStyle w:val="ListParagraph"/>
        <w:numPr>
          <w:ilvl w:val="0"/>
          <w:numId w:val="23"/>
        </w:numPr>
        <w:ind w:left="1701" w:right="386" w:hanging="425"/>
        <w:rPr>
          <w:rFonts w:cs="Arial"/>
        </w:rPr>
      </w:pPr>
      <w:r w:rsidRPr="1EDB5DC6">
        <w:rPr>
          <w:rFonts w:cs="Arial"/>
          <w:b/>
        </w:rPr>
        <w:t>Streamlining systems and processe</w:t>
      </w:r>
      <w:r w:rsidRPr="07CBB4C4">
        <w:rPr>
          <w:rFonts w:cs="Arial"/>
        </w:rPr>
        <w:t>s</w:t>
      </w:r>
      <w:r w:rsidR="41D7C49C" w:rsidRPr="07CBB4C4">
        <w:rPr>
          <w:rFonts w:cs="Arial"/>
        </w:rPr>
        <w:t xml:space="preserve"> including the use of Robotic Process Automation</w:t>
      </w:r>
      <w:r w:rsidR="015CCF8A" w:rsidRPr="07CBB4C4">
        <w:rPr>
          <w:rFonts w:cs="Arial"/>
        </w:rPr>
        <w:t xml:space="preserve"> being achieved in </w:t>
      </w:r>
      <w:proofErr w:type="gramStart"/>
      <w:r w:rsidR="015CCF8A" w:rsidRPr="07CBB4C4">
        <w:rPr>
          <w:rFonts w:cs="Arial"/>
        </w:rPr>
        <w:t>a number of</w:t>
      </w:r>
      <w:proofErr w:type="gramEnd"/>
      <w:r w:rsidR="015CCF8A" w:rsidRPr="07CBB4C4">
        <w:rPr>
          <w:rFonts w:cs="Arial"/>
        </w:rPr>
        <w:t xml:space="preserve"> services including planning and revenues and </w:t>
      </w:r>
      <w:r w:rsidR="00344269" w:rsidRPr="1EDB5DC6">
        <w:rPr>
          <w:rFonts w:cs="Arial"/>
        </w:rPr>
        <w:t>benefits.</w:t>
      </w:r>
    </w:p>
    <w:p w14:paraId="6B4A33C1" w14:textId="478BBD94" w:rsidR="00025407" w:rsidRPr="00B96FC0" w:rsidRDefault="00287A48" w:rsidP="009046B9">
      <w:pPr>
        <w:pStyle w:val="ListParagraph"/>
        <w:numPr>
          <w:ilvl w:val="0"/>
          <w:numId w:val="23"/>
        </w:numPr>
        <w:ind w:left="1701" w:right="386" w:hanging="425"/>
        <w:rPr>
          <w:rFonts w:cs="Arial"/>
        </w:rPr>
      </w:pPr>
      <w:r w:rsidRPr="1EDB5DC6">
        <w:rPr>
          <w:rFonts w:cs="Arial"/>
          <w:b/>
        </w:rPr>
        <w:t>Customer E</w:t>
      </w:r>
      <w:r w:rsidR="00025407" w:rsidRPr="1EDB5DC6">
        <w:rPr>
          <w:rFonts w:cs="Arial"/>
          <w:b/>
        </w:rPr>
        <w:t xml:space="preserve">xperience </w:t>
      </w:r>
      <w:r w:rsidR="00025407" w:rsidRPr="07CBB4C4">
        <w:rPr>
          <w:rFonts w:cs="Arial"/>
        </w:rPr>
        <w:t>– streamlining and redesigning how the customer interacts with the council whilst looking to channel shift many of our services towards digitisation</w:t>
      </w:r>
      <w:r w:rsidR="55BE910E" w:rsidRPr="07CBB4C4">
        <w:rPr>
          <w:rFonts w:cs="Arial"/>
        </w:rPr>
        <w:t xml:space="preserve"> </w:t>
      </w:r>
      <w:r w:rsidR="09190E6C" w:rsidRPr="1EDB5DC6">
        <w:rPr>
          <w:rFonts w:cs="Arial"/>
        </w:rPr>
        <w:t>with</w:t>
      </w:r>
      <w:r w:rsidR="5929270B" w:rsidRPr="1EDB5DC6">
        <w:rPr>
          <w:rFonts w:cs="Arial"/>
        </w:rPr>
        <w:t xml:space="preserve"> </w:t>
      </w:r>
      <w:r w:rsidR="6A522D2D" w:rsidRPr="1EDB5DC6">
        <w:rPr>
          <w:rFonts w:cs="Arial"/>
        </w:rPr>
        <w:t>additional</w:t>
      </w:r>
      <w:r w:rsidR="55BE910E" w:rsidRPr="07CBB4C4">
        <w:rPr>
          <w:rFonts w:cs="Arial"/>
        </w:rPr>
        <w:t xml:space="preserve"> ongoing savings of </w:t>
      </w:r>
      <w:r w:rsidR="5929270B" w:rsidRPr="1EDB5DC6">
        <w:rPr>
          <w:rFonts w:cs="Arial"/>
        </w:rPr>
        <w:t>£</w:t>
      </w:r>
      <w:r w:rsidR="657454C9" w:rsidRPr="1EDB5DC6">
        <w:rPr>
          <w:rFonts w:cs="Arial"/>
        </w:rPr>
        <w:t>422k</w:t>
      </w:r>
      <w:r w:rsidR="5929270B" w:rsidRPr="1EDB5DC6">
        <w:rPr>
          <w:rFonts w:cs="Arial"/>
        </w:rPr>
        <w:t xml:space="preserve"> </w:t>
      </w:r>
      <w:r w:rsidR="2B34263A" w:rsidRPr="1EDB5DC6">
        <w:rPr>
          <w:rFonts w:cs="Arial"/>
        </w:rPr>
        <w:t xml:space="preserve">per annum </w:t>
      </w:r>
      <w:r w:rsidR="34F002D7" w:rsidRPr="1EDB5DC6">
        <w:rPr>
          <w:rFonts w:cs="Arial"/>
        </w:rPr>
        <w:t>b</w:t>
      </w:r>
      <w:r w:rsidR="5929270B" w:rsidRPr="1EDB5DC6">
        <w:rPr>
          <w:rFonts w:cs="Arial"/>
        </w:rPr>
        <w:t xml:space="preserve">eing </w:t>
      </w:r>
      <w:r w:rsidR="1E3BF86B" w:rsidRPr="1EDB5DC6">
        <w:rPr>
          <w:rFonts w:cs="Arial"/>
        </w:rPr>
        <w:t>included</w:t>
      </w:r>
      <w:r w:rsidR="55BE910E" w:rsidRPr="07CBB4C4">
        <w:rPr>
          <w:rFonts w:cs="Arial"/>
        </w:rPr>
        <w:t xml:space="preserve"> in this MTFP </w:t>
      </w:r>
      <w:r w:rsidR="00344269" w:rsidRPr="07CBB4C4">
        <w:rPr>
          <w:rFonts w:cs="Arial"/>
        </w:rPr>
        <w:t>refresh.</w:t>
      </w:r>
    </w:p>
    <w:p w14:paraId="44655068" w14:textId="0F2F6FA0" w:rsidR="12933F62" w:rsidRDefault="12933F62" w:rsidP="009046B9">
      <w:pPr>
        <w:pStyle w:val="ListParagraph"/>
        <w:numPr>
          <w:ilvl w:val="0"/>
          <w:numId w:val="23"/>
        </w:numPr>
        <w:ind w:left="1701" w:right="386" w:hanging="425"/>
        <w:rPr>
          <w:rFonts w:cs="Arial"/>
        </w:rPr>
      </w:pPr>
      <w:r w:rsidRPr="1EDB5DC6">
        <w:rPr>
          <w:rFonts w:cs="Arial"/>
          <w:b/>
        </w:rPr>
        <w:t>Rationalisation of Senior Management Structures</w:t>
      </w:r>
      <w:r w:rsidRPr="07CBB4C4">
        <w:rPr>
          <w:rFonts w:cs="Arial"/>
        </w:rPr>
        <w:t xml:space="preserve"> in the organisation. Proposals are currently being </w:t>
      </w:r>
      <w:r w:rsidR="7710A7FB" w:rsidRPr="1EDB5DC6">
        <w:rPr>
          <w:rFonts w:cs="Arial"/>
        </w:rPr>
        <w:t>consulted</w:t>
      </w:r>
      <w:r w:rsidRPr="07CBB4C4">
        <w:rPr>
          <w:rFonts w:cs="Arial"/>
        </w:rPr>
        <w:t xml:space="preserve"> on which will </w:t>
      </w:r>
      <w:r w:rsidR="3A70E715" w:rsidRPr="1EDB5DC6">
        <w:rPr>
          <w:rFonts w:cs="Arial"/>
        </w:rPr>
        <w:t>see</w:t>
      </w:r>
      <w:r w:rsidRPr="07CBB4C4">
        <w:rPr>
          <w:rFonts w:cs="Arial"/>
        </w:rPr>
        <w:t xml:space="preserve"> the reduction from 3 </w:t>
      </w:r>
      <w:r w:rsidR="132CABB9" w:rsidRPr="07CBB4C4">
        <w:rPr>
          <w:rFonts w:cs="Arial"/>
        </w:rPr>
        <w:t xml:space="preserve">directors to 2 assistant </w:t>
      </w:r>
      <w:r w:rsidR="12C4E5A8" w:rsidRPr="1EDB5DC6">
        <w:rPr>
          <w:rFonts w:cs="Arial"/>
        </w:rPr>
        <w:t>chief</w:t>
      </w:r>
      <w:r w:rsidR="12D5E584" w:rsidRPr="1EDB5DC6">
        <w:rPr>
          <w:rFonts w:cs="Arial"/>
        </w:rPr>
        <w:t xml:space="preserve"> </w:t>
      </w:r>
      <w:r w:rsidR="033F0479" w:rsidRPr="1EDB5DC6">
        <w:rPr>
          <w:rFonts w:cs="Arial"/>
        </w:rPr>
        <w:t>executives</w:t>
      </w:r>
      <w:r w:rsidR="132CABB9" w:rsidRPr="07CBB4C4">
        <w:rPr>
          <w:rFonts w:cs="Arial"/>
        </w:rPr>
        <w:t xml:space="preserve"> and 10 service heads down to 7 strategic directors. This saving will </w:t>
      </w:r>
      <w:r w:rsidR="2EEEB989" w:rsidRPr="1EDB5DC6">
        <w:rPr>
          <w:rFonts w:cs="Arial"/>
        </w:rPr>
        <w:t>contribute</w:t>
      </w:r>
      <w:r w:rsidR="132CABB9" w:rsidRPr="07CBB4C4">
        <w:rPr>
          <w:rFonts w:cs="Arial"/>
        </w:rPr>
        <w:t xml:space="preserve"> to the </w:t>
      </w:r>
      <w:r w:rsidR="22951BD5" w:rsidRPr="07CBB4C4">
        <w:rPr>
          <w:rFonts w:cs="Arial"/>
        </w:rPr>
        <w:t xml:space="preserve">target of </w:t>
      </w:r>
      <w:r w:rsidR="132CABB9" w:rsidRPr="07CBB4C4">
        <w:rPr>
          <w:rFonts w:cs="Arial"/>
        </w:rPr>
        <w:t>£1.4 million of management</w:t>
      </w:r>
      <w:r w:rsidR="1381D931" w:rsidRPr="07CBB4C4">
        <w:rPr>
          <w:rFonts w:cs="Arial"/>
        </w:rPr>
        <w:t xml:space="preserve"> savings </w:t>
      </w:r>
      <w:r w:rsidR="3266F2CE" w:rsidRPr="1EDB5DC6">
        <w:rPr>
          <w:rFonts w:cs="Arial"/>
        </w:rPr>
        <w:t>identified</w:t>
      </w:r>
      <w:r w:rsidR="7A4EBA94" w:rsidRPr="1EDB5DC6">
        <w:rPr>
          <w:rFonts w:cs="Arial"/>
        </w:rPr>
        <w:t xml:space="preserve"> f</w:t>
      </w:r>
      <w:r w:rsidR="13A487D4" w:rsidRPr="1EDB5DC6">
        <w:rPr>
          <w:rFonts w:cs="Arial"/>
        </w:rPr>
        <w:t>rom</w:t>
      </w:r>
      <w:r w:rsidR="1381D931" w:rsidRPr="07CBB4C4">
        <w:rPr>
          <w:rFonts w:cs="Arial"/>
        </w:rPr>
        <w:t xml:space="preserve"> 2026-27 onwards</w:t>
      </w:r>
      <w:r w:rsidR="0EC91164" w:rsidRPr="1EDB5DC6">
        <w:rPr>
          <w:rFonts w:cs="Arial"/>
        </w:rPr>
        <w:t>,</w:t>
      </w:r>
      <w:r w:rsidR="58E08ADB" w:rsidRPr="07CBB4C4">
        <w:rPr>
          <w:rFonts w:cs="Arial"/>
        </w:rPr>
        <w:t xml:space="preserve"> with savings </w:t>
      </w:r>
      <w:r w:rsidR="0A398E14" w:rsidRPr="1EDB5DC6">
        <w:rPr>
          <w:rFonts w:cs="Arial"/>
        </w:rPr>
        <w:t>achieved</w:t>
      </w:r>
      <w:r w:rsidR="58E08ADB" w:rsidRPr="07CBB4C4">
        <w:rPr>
          <w:rFonts w:cs="Arial"/>
        </w:rPr>
        <w:t xml:space="preserve"> to date </w:t>
      </w:r>
      <w:r w:rsidR="7DB8EB2B" w:rsidRPr="1EDB5DC6">
        <w:rPr>
          <w:rFonts w:cs="Arial"/>
        </w:rPr>
        <w:t xml:space="preserve">against this target </w:t>
      </w:r>
      <w:r w:rsidR="58E08ADB" w:rsidRPr="07CBB4C4">
        <w:rPr>
          <w:rFonts w:cs="Arial"/>
        </w:rPr>
        <w:t xml:space="preserve">totalling £1.15 million. </w:t>
      </w:r>
      <w:r w:rsidR="1381D931" w:rsidRPr="07CBB4C4">
        <w:rPr>
          <w:rFonts w:cs="Arial"/>
        </w:rPr>
        <w:t xml:space="preserve"> </w:t>
      </w:r>
    </w:p>
    <w:p w14:paraId="413C9F17" w14:textId="77777777" w:rsidR="00F65589" w:rsidRPr="00A37BBD" w:rsidRDefault="00F65589" w:rsidP="00F65589">
      <w:pPr>
        <w:pStyle w:val="ListParagraph"/>
        <w:ind w:left="1134" w:right="386"/>
        <w:rPr>
          <w:rFonts w:cs="Arial"/>
        </w:rPr>
      </w:pPr>
    </w:p>
    <w:p w14:paraId="77113566" w14:textId="3200664A" w:rsidR="005A3480" w:rsidRPr="00A37BBD" w:rsidRDefault="005A3480" w:rsidP="00646F89">
      <w:pPr>
        <w:tabs>
          <w:tab w:val="left" w:pos="540"/>
        </w:tabs>
        <w:ind w:right="386"/>
        <w:rPr>
          <w:rFonts w:cs="Arial"/>
          <w:b/>
        </w:rPr>
      </w:pPr>
      <w:r w:rsidRPr="00A37BBD">
        <w:rPr>
          <w:rFonts w:cs="Arial"/>
          <w:b/>
        </w:rPr>
        <w:t>Income</w:t>
      </w:r>
    </w:p>
    <w:p w14:paraId="6A3A79C5" w14:textId="5E9F66AC" w:rsidR="00B976BC" w:rsidRPr="00A37BBD" w:rsidRDefault="00E457B0" w:rsidP="009046B9">
      <w:pPr>
        <w:pStyle w:val="ListParagraph"/>
        <w:numPr>
          <w:ilvl w:val="0"/>
          <w:numId w:val="42"/>
        </w:numPr>
        <w:tabs>
          <w:tab w:val="left" w:pos="540"/>
        </w:tabs>
        <w:ind w:left="567" w:right="386" w:hanging="567"/>
        <w:rPr>
          <w:rFonts w:cs="Arial"/>
        </w:rPr>
      </w:pPr>
      <w:r w:rsidRPr="6F9FB908">
        <w:rPr>
          <w:rFonts w:cs="Arial"/>
        </w:rPr>
        <w:t>I</w:t>
      </w:r>
      <w:r w:rsidR="00497284" w:rsidRPr="6F9FB908">
        <w:rPr>
          <w:rFonts w:cs="Arial"/>
        </w:rPr>
        <w:t xml:space="preserve">ncome over the </w:t>
      </w:r>
      <w:proofErr w:type="gramStart"/>
      <w:r w:rsidR="00497284" w:rsidRPr="6F9FB908">
        <w:rPr>
          <w:rFonts w:cs="Arial"/>
        </w:rPr>
        <w:t>4 year</w:t>
      </w:r>
      <w:proofErr w:type="gramEnd"/>
      <w:r w:rsidR="00497284" w:rsidRPr="6F9FB908">
        <w:rPr>
          <w:rFonts w:cs="Arial"/>
        </w:rPr>
        <w:t xml:space="preserve"> period is </w:t>
      </w:r>
      <w:r w:rsidR="00390953" w:rsidRPr="6F9FB908">
        <w:rPr>
          <w:rFonts w:cs="Arial"/>
        </w:rPr>
        <w:t xml:space="preserve">set to increase by another </w:t>
      </w:r>
      <w:r w:rsidR="00497284" w:rsidRPr="6F9FB908">
        <w:rPr>
          <w:rFonts w:cs="Arial"/>
        </w:rPr>
        <w:t>£</w:t>
      </w:r>
      <w:r w:rsidR="00A37BBD" w:rsidRPr="6F9FB908">
        <w:rPr>
          <w:rFonts w:cs="Arial"/>
        </w:rPr>
        <w:t>8</w:t>
      </w:r>
      <w:r w:rsidR="00497284" w:rsidRPr="6F9FB908">
        <w:rPr>
          <w:rFonts w:cs="Arial"/>
        </w:rPr>
        <w:t xml:space="preserve"> million, </w:t>
      </w:r>
      <w:r w:rsidR="00390953" w:rsidRPr="6F9FB908">
        <w:rPr>
          <w:rFonts w:cs="Arial"/>
        </w:rPr>
        <w:t>over the current base budget and primarily includes</w:t>
      </w:r>
      <w:r w:rsidR="004C7821" w:rsidRPr="6F9FB908">
        <w:rPr>
          <w:rFonts w:cs="Arial"/>
        </w:rPr>
        <w:t>:</w:t>
      </w:r>
    </w:p>
    <w:p w14:paraId="1B4AF90C" w14:textId="77777777" w:rsidR="00497284" w:rsidRPr="00B96FC0" w:rsidRDefault="00497284" w:rsidP="00497284">
      <w:pPr>
        <w:tabs>
          <w:tab w:val="left" w:pos="540"/>
        </w:tabs>
        <w:ind w:left="720" w:right="386" w:hanging="720"/>
        <w:rPr>
          <w:rFonts w:cs="Arial"/>
          <w:highlight w:val="yellow"/>
        </w:rPr>
      </w:pPr>
    </w:p>
    <w:p w14:paraId="01B490B4" w14:textId="2A9017AB" w:rsidR="7698EC71" w:rsidRDefault="7698EC71" w:rsidP="009046B9">
      <w:pPr>
        <w:pStyle w:val="ListParagraph"/>
        <w:numPr>
          <w:ilvl w:val="0"/>
          <w:numId w:val="25"/>
        </w:numPr>
        <w:rPr>
          <w:rFonts w:eastAsia="Arial" w:cs="Arial"/>
          <w:color w:val="000000" w:themeColor="text1"/>
          <w:lang w:eastAsia="en-GB"/>
        </w:rPr>
      </w:pPr>
      <w:r w:rsidRPr="0F56E864">
        <w:rPr>
          <w:rFonts w:eastAsia="Arial" w:cs="Arial"/>
          <w:b/>
          <w:color w:val="000000" w:themeColor="text1"/>
          <w:lang w:eastAsia="en-GB"/>
        </w:rPr>
        <w:t>Corporate Property - £</w:t>
      </w:r>
      <w:r w:rsidR="54EE4D17" w:rsidRPr="0F56E864">
        <w:rPr>
          <w:rFonts w:eastAsia="Arial" w:cs="Arial"/>
          <w:b/>
          <w:color w:val="000000" w:themeColor="text1"/>
          <w:lang w:eastAsia="en-GB"/>
        </w:rPr>
        <w:t>7</w:t>
      </w:r>
      <w:r w:rsidR="03876689" w:rsidRPr="0F56E864">
        <w:rPr>
          <w:rFonts w:eastAsia="Arial" w:cs="Arial"/>
          <w:b/>
          <w:color w:val="000000" w:themeColor="text1"/>
          <w:lang w:eastAsia="en-GB"/>
        </w:rPr>
        <w:t>.</w:t>
      </w:r>
      <w:r w:rsidR="2F0BCA2E" w:rsidRPr="0F56E864">
        <w:rPr>
          <w:rFonts w:eastAsia="Arial" w:cs="Arial"/>
          <w:b/>
          <w:color w:val="000000" w:themeColor="text1"/>
          <w:lang w:eastAsia="en-GB"/>
        </w:rPr>
        <w:t>1</w:t>
      </w:r>
      <w:r w:rsidR="230323A6" w:rsidRPr="0F56E864">
        <w:rPr>
          <w:rFonts w:eastAsia="Arial" w:cs="Arial"/>
          <w:b/>
          <w:color w:val="000000" w:themeColor="text1"/>
          <w:lang w:eastAsia="en-GB"/>
        </w:rPr>
        <w:t xml:space="preserve"> million</w:t>
      </w:r>
      <w:r w:rsidRPr="0F56E864">
        <w:rPr>
          <w:rFonts w:eastAsia="Arial" w:cs="Arial"/>
          <w:b/>
          <w:color w:val="000000" w:themeColor="text1"/>
          <w:lang w:eastAsia="en-GB"/>
        </w:rPr>
        <w:t xml:space="preserve"> </w:t>
      </w:r>
      <w:r w:rsidR="7676FB1E" w:rsidRPr="0F56E864">
        <w:rPr>
          <w:rFonts w:eastAsia="Arial" w:cs="Arial"/>
          <w:b/>
          <w:color w:val="000000" w:themeColor="text1"/>
          <w:lang w:eastAsia="en-GB"/>
        </w:rPr>
        <w:t xml:space="preserve">additional income over the </w:t>
      </w:r>
      <w:proofErr w:type="gramStart"/>
      <w:r w:rsidR="7676FB1E" w:rsidRPr="0F56E864">
        <w:rPr>
          <w:rFonts w:eastAsia="Arial" w:cs="Arial"/>
          <w:b/>
          <w:color w:val="000000" w:themeColor="text1"/>
          <w:lang w:eastAsia="en-GB"/>
        </w:rPr>
        <w:t>4 year</w:t>
      </w:r>
      <w:proofErr w:type="gramEnd"/>
      <w:r w:rsidR="7676FB1E" w:rsidRPr="0F56E864">
        <w:rPr>
          <w:rFonts w:eastAsia="Arial" w:cs="Arial"/>
          <w:b/>
          <w:color w:val="000000" w:themeColor="text1"/>
          <w:lang w:eastAsia="en-GB"/>
        </w:rPr>
        <w:t xml:space="preserve"> period </w:t>
      </w:r>
      <w:r w:rsidR="21427E06" w:rsidRPr="0F56E864">
        <w:rPr>
          <w:rFonts w:eastAsia="Arial" w:cs="Arial"/>
          <w:color w:val="000000" w:themeColor="text1"/>
          <w:lang w:eastAsia="en-GB"/>
        </w:rPr>
        <w:t>–</w:t>
      </w:r>
      <w:r w:rsidRPr="0F56E864">
        <w:rPr>
          <w:rFonts w:eastAsia="Arial" w:cs="Arial"/>
          <w:color w:val="000000" w:themeColor="text1"/>
          <w:lang w:eastAsia="en-GB"/>
        </w:rPr>
        <w:t xml:space="preserve"> </w:t>
      </w:r>
      <w:r w:rsidR="21427E06" w:rsidRPr="0F56E864">
        <w:rPr>
          <w:rFonts w:eastAsia="Arial" w:cs="Arial"/>
          <w:color w:val="000000" w:themeColor="text1"/>
          <w:lang w:eastAsia="en-GB"/>
        </w:rPr>
        <w:t xml:space="preserve">The </w:t>
      </w:r>
      <w:r w:rsidR="30D7C4F2" w:rsidRPr="0F56E864">
        <w:rPr>
          <w:rFonts w:eastAsia="Arial" w:cs="Arial"/>
          <w:color w:val="000000" w:themeColor="text1"/>
          <w:lang w:eastAsia="en-GB"/>
        </w:rPr>
        <w:t xml:space="preserve">baseline budgeted </w:t>
      </w:r>
      <w:r w:rsidR="21427E06" w:rsidRPr="0F56E864">
        <w:rPr>
          <w:rFonts w:eastAsia="Arial" w:cs="Arial"/>
          <w:color w:val="000000" w:themeColor="text1"/>
          <w:lang w:eastAsia="en-GB"/>
        </w:rPr>
        <w:t>commercial rent income figure is currently estimated at around £</w:t>
      </w:r>
      <w:r w:rsidR="50C8C48B" w:rsidRPr="0F56E864">
        <w:rPr>
          <w:rFonts w:eastAsia="Arial" w:cs="Arial"/>
          <w:color w:val="000000" w:themeColor="text1"/>
          <w:lang w:eastAsia="en-GB"/>
        </w:rPr>
        <w:t>10</w:t>
      </w:r>
      <w:r w:rsidR="21427E06" w:rsidRPr="0F56E864">
        <w:rPr>
          <w:rFonts w:eastAsia="Arial" w:cs="Arial"/>
          <w:color w:val="000000" w:themeColor="text1"/>
          <w:lang w:eastAsia="en-GB"/>
        </w:rPr>
        <w:t>m</w:t>
      </w:r>
      <w:r w:rsidR="0F9465EB" w:rsidRPr="0F56E864">
        <w:rPr>
          <w:rFonts w:eastAsia="Arial" w:cs="Arial"/>
          <w:color w:val="000000" w:themeColor="text1"/>
          <w:lang w:eastAsia="en-GB"/>
        </w:rPr>
        <w:t xml:space="preserve"> per annum for 2024-25</w:t>
      </w:r>
      <w:r w:rsidR="21427E06" w:rsidRPr="0F56E864">
        <w:rPr>
          <w:rFonts w:eastAsia="Arial" w:cs="Arial"/>
          <w:color w:val="000000" w:themeColor="text1"/>
          <w:lang w:eastAsia="en-GB"/>
        </w:rPr>
        <w:t xml:space="preserve">. </w:t>
      </w:r>
      <w:r w:rsidR="0D618127" w:rsidRPr="0F56E864">
        <w:rPr>
          <w:rFonts w:eastAsia="Arial" w:cs="Arial"/>
          <w:color w:val="000000" w:themeColor="text1"/>
          <w:lang w:eastAsia="en-GB"/>
        </w:rPr>
        <w:t>S</w:t>
      </w:r>
      <w:r w:rsidR="5E759659" w:rsidRPr="0F56E864">
        <w:rPr>
          <w:rFonts w:eastAsia="Arial" w:cs="Arial"/>
          <w:color w:val="000000" w:themeColor="text1"/>
          <w:lang w:eastAsia="en-GB"/>
        </w:rPr>
        <w:t>ign</w:t>
      </w:r>
      <w:r w:rsidR="008F5D26" w:rsidRPr="0F56E864">
        <w:rPr>
          <w:rFonts w:eastAsia="Arial" w:cs="Arial"/>
          <w:color w:val="000000" w:themeColor="text1"/>
          <w:lang w:eastAsia="en-GB"/>
        </w:rPr>
        <w:t>i</w:t>
      </w:r>
      <w:r w:rsidR="5E759659" w:rsidRPr="0F56E864">
        <w:rPr>
          <w:rFonts w:eastAsia="Arial" w:cs="Arial"/>
          <w:color w:val="000000" w:themeColor="text1"/>
          <w:lang w:eastAsia="en-GB"/>
        </w:rPr>
        <w:t>ficant increases aris</w:t>
      </w:r>
      <w:r w:rsidR="213E8241" w:rsidRPr="0F56E864">
        <w:rPr>
          <w:rFonts w:eastAsia="Arial" w:cs="Arial"/>
          <w:color w:val="000000" w:themeColor="text1"/>
          <w:lang w:eastAsia="en-GB"/>
        </w:rPr>
        <w:t>e</w:t>
      </w:r>
      <w:r w:rsidR="5E759659" w:rsidRPr="0F56E864">
        <w:rPr>
          <w:rFonts w:eastAsia="Arial" w:cs="Arial"/>
          <w:color w:val="000000" w:themeColor="text1"/>
          <w:lang w:eastAsia="en-GB"/>
        </w:rPr>
        <w:t xml:space="preserve"> from </w:t>
      </w:r>
    </w:p>
    <w:p w14:paraId="56380BFC" w14:textId="1B334EF0" w:rsidR="5E759659" w:rsidRDefault="6E3E01A0" w:rsidP="009046B9">
      <w:pPr>
        <w:pStyle w:val="ListParagraph"/>
        <w:numPr>
          <w:ilvl w:val="0"/>
          <w:numId w:val="35"/>
        </w:numPr>
        <w:rPr>
          <w:rFonts w:eastAsia="Arial" w:cs="Arial"/>
          <w:color w:val="000000" w:themeColor="text1"/>
          <w:lang w:eastAsia="en-GB"/>
        </w:rPr>
      </w:pPr>
      <w:r w:rsidRPr="0F56E864">
        <w:rPr>
          <w:rFonts w:eastAsia="Arial" w:cs="Arial"/>
          <w:color w:val="000000" w:themeColor="text1"/>
          <w:lang w:eastAsia="en-GB"/>
        </w:rPr>
        <w:t xml:space="preserve">City Centre major </w:t>
      </w:r>
      <w:r w:rsidR="4FDBB6DF" w:rsidRPr="0F56E864">
        <w:rPr>
          <w:rFonts w:eastAsia="Arial" w:cs="Arial"/>
          <w:color w:val="000000" w:themeColor="text1"/>
          <w:lang w:eastAsia="en-GB"/>
        </w:rPr>
        <w:t>development</w:t>
      </w:r>
      <w:r w:rsidRPr="0F56E864">
        <w:rPr>
          <w:rFonts w:eastAsia="Arial" w:cs="Arial"/>
          <w:color w:val="000000" w:themeColor="text1"/>
          <w:lang w:eastAsia="en-GB"/>
        </w:rPr>
        <w:t xml:space="preserve"> scheme -</w:t>
      </w:r>
      <w:r w:rsidR="5E759659" w:rsidRPr="0F56E864">
        <w:rPr>
          <w:rFonts w:eastAsia="Arial" w:cs="Arial"/>
          <w:color w:val="000000" w:themeColor="text1"/>
          <w:lang w:eastAsia="en-GB"/>
        </w:rPr>
        <w:t xml:space="preserve"> £</w:t>
      </w:r>
      <w:r w:rsidR="6C4530A3" w:rsidRPr="0F56E864">
        <w:rPr>
          <w:rFonts w:eastAsia="Arial" w:cs="Arial"/>
          <w:color w:val="000000" w:themeColor="text1"/>
          <w:lang w:eastAsia="en-GB"/>
        </w:rPr>
        <w:t>2.5 million with effect from Summer 2028</w:t>
      </w:r>
    </w:p>
    <w:p w14:paraId="3973F710" w14:textId="521214C2" w:rsidR="12F6F460" w:rsidRDefault="12F6F460" w:rsidP="009046B9">
      <w:pPr>
        <w:pStyle w:val="ListParagraph"/>
        <w:numPr>
          <w:ilvl w:val="0"/>
          <w:numId w:val="35"/>
        </w:numPr>
        <w:rPr>
          <w:rFonts w:eastAsia="Arial" w:cs="Arial"/>
          <w:color w:val="000000" w:themeColor="text1"/>
          <w:lang w:eastAsia="en-GB"/>
        </w:rPr>
      </w:pPr>
      <w:r w:rsidRPr="0F56E864">
        <w:rPr>
          <w:rFonts w:eastAsia="Arial" w:cs="Arial"/>
          <w:color w:val="000000" w:themeColor="text1"/>
          <w:lang w:eastAsia="en-GB"/>
        </w:rPr>
        <w:t>St Aldates Chamber</w:t>
      </w:r>
      <w:r w:rsidR="006734EF">
        <w:rPr>
          <w:rFonts w:eastAsia="Arial" w:cs="Arial"/>
          <w:color w:val="000000" w:themeColor="text1"/>
          <w:lang w:eastAsia="en-GB"/>
        </w:rPr>
        <w:t>s</w:t>
      </w:r>
      <w:r w:rsidRPr="0F56E864">
        <w:rPr>
          <w:rFonts w:eastAsia="Arial" w:cs="Arial"/>
          <w:color w:val="000000" w:themeColor="text1"/>
          <w:lang w:eastAsia="en-GB"/>
        </w:rPr>
        <w:t xml:space="preserve"> – additional £1.5 million October 2025</w:t>
      </w:r>
    </w:p>
    <w:p w14:paraId="03D9B866" w14:textId="0F0E5CBB" w:rsidR="3FD2B39D" w:rsidRDefault="149198ED" w:rsidP="009046B9">
      <w:pPr>
        <w:pStyle w:val="ListParagraph"/>
        <w:numPr>
          <w:ilvl w:val="0"/>
          <w:numId w:val="35"/>
        </w:numPr>
        <w:rPr>
          <w:rFonts w:eastAsia="Arial" w:cs="Arial"/>
          <w:color w:val="000000" w:themeColor="text1"/>
          <w:lang w:eastAsia="en-GB"/>
        </w:rPr>
      </w:pPr>
      <w:r w:rsidRPr="0F56E864">
        <w:rPr>
          <w:rFonts w:eastAsia="Arial" w:cs="Arial"/>
          <w:color w:val="000000" w:themeColor="text1"/>
          <w:lang w:eastAsia="en-GB"/>
        </w:rPr>
        <w:t>Additional</w:t>
      </w:r>
      <w:r w:rsidR="77F725A5" w:rsidRPr="0F56E864">
        <w:rPr>
          <w:rFonts w:eastAsia="Arial" w:cs="Arial"/>
          <w:color w:val="000000" w:themeColor="text1"/>
          <w:lang w:eastAsia="en-GB"/>
        </w:rPr>
        <w:t xml:space="preserve"> income from re-</w:t>
      </w:r>
      <w:r w:rsidR="7BA6133C" w:rsidRPr="0F56E864">
        <w:rPr>
          <w:rFonts w:eastAsia="Arial" w:cs="Arial"/>
          <w:color w:val="000000" w:themeColor="text1"/>
          <w:lang w:eastAsia="en-GB"/>
        </w:rPr>
        <w:t>letting</w:t>
      </w:r>
      <w:r w:rsidR="77F725A5" w:rsidRPr="0F56E864">
        <w:rPr>
          <w:rFonts w:eastAsia="Arial" w:cs="Arial"/>
          <w:color w:val="000000" w:themeColor="text1"/>
          <w:lang w:eastAsia="en-GB"/>
        </w:rPr>
        <w:t xml:space="preserve"> of </w:t>
      </w:r>
      <w:r w:rsidR="3FD2B39D" w:rsidRPr="0F56E864">
        <w:rPr>
          <w:rFonts w:eastAsia="Arial" w:cs="Arial"/>
          <w:color w:val="000000" w:themeColor="text1"/>
          <w:lang w:eastAsia="en-GB"/>
        </w:rPr>
        <w:t xml:space="preserve">1-3 </w:t>
      </w:r>
      <w:r w:rsidR="066D5DB6" w:rsidRPr="0F56E864">
        <w:rPr>
          <w:rFonts w:eastAsia="Arial" w:cs="Arial"/>
          <w:color w:val="000000" w:themeColor="text1"/>
          <w:lang w:eastAsia="en-GB"/>
        </w:rPr>
        <w:t>George Street</w:t>
      </w:r>
      <w:r w:rsidR="78E772AF" w:rsidRPr="0F56E864">
        <w:rPr>
          <w:rFonts w:eastAsia="Arial" w:cs="Arial"/>
          <w:color w:val="000000" w:themeColor="text1"/>
          <w:lang w:eastAsia="en-GB"/>
        </w:rPr>
        <w:t xml:space="preserve"> from 2025-26</w:t>
      </w:r>
      <w:r w:rsidR="3FD2B39D" w:rsidRPr="0F56E864">
        <w:rPr>
          <w:rFonts w:eastAsia="Arial" w:cs="Arial"/>
          <w:color w:val="000000" w:themeColor="text1"/>
          <w:lang w:eastAsia="en-GB"/>
        </w:rPr>
        <w:t xml:space="preserve"> </w:t>
      </w:r>
    </w:p>
    <w:p w14:paraId="54C5F8D6" w14:textId="0F68B17B" w:rsidR="5E759659" w:rsidRDefault="5E759659" w:rsidP="009046B9">
      <w:pPr>
        <w:pStyle w:val="ListParagraph"/>
        <w:numPr>
          <w:ilvl w:val="0"/>
          <w:numId w:val="35"/>
        </w:numPr>
        <w:rPr>
          <w:rFonts w:eastAsia="Arial" w:cs="Arial"/>
          <w:color w:val="000000" w:themeColor="text1"/>
          <w:lang w:eastAsia="en-GB"/>
        </w:rPr>
      </w:pPr>
      <w:r w:rsidRPr="0F56E864">
        <w:rPr>
          <w:rFonts w:eastAsia="Arial" w:cs="Arial"/>
          <w:color w:val="000000" w:themeColor="text1"/>
          <w:lang w:eastAsia="en-GB"/>
        </w:rPr>
        <w:t>Bus shelter advertising income - £328k per annum</w:t>
      </w:r>
      <w:r w:rsidR="49807429" w:rsidRPr="0F56E864">
        <w:rPr>
          <w:rFonts w:eastAsia="Arial" w:cs="Arial"/>
          <w:color w:val="000000" w:themeColor="text1"/>
          <w:lang w:eastAsia="en-GB"/>
        </w:rPr>
        <w:t xml:space="preserve">- following a recent tendering </w:t>
      </w:r>
      <w:r w:rsidR="00097FD6" w:rsidRPr="0F56E864">
        <w:rPr>
          <w:rFonts w:eastAsia="Arial" w:cs="Arial"/>
          <w:color w:val="000000" w:themeColor="text1"/>
          <w:lang w:eastAsia="en-GB"/>
        </w:rPr>
        <w:t>exercise.</w:t>
      </w:r>
    </w:p>
    <w:p w14:paraId="3AD4D696" w14:textId="7B814548" w:rsidR="006734EF" w:rsidRDefault="5ED68FA2" w:rsidP="009046B9">
      <w:pPr>
        <w:pStyle w:val="ListParagraph"/>
        <w:numPr>
          <w:ilvl w:val="0"/>
          <w:numId w:val="35"/>
        </w:numPr>
        <w:rPr>
          <w:rFonts w:eastAsia="Arial" w:cs="Arial"/>
          <w:color w:val="000000" w:themeColor="text1"/>
          <w:lang w:eastAsia="en-GB"/>
        </w:rPr>
      </w:pPr>
      <w:r w:rsidRPr="6F9FB908">
        <w:rPr>
          <w:rFonts w:eastAsia="Arial" w:cs="Arial"/>
          <w:color w:val="000000" w:themeColor="text1"/>
          <w:lang w:eastAsia="en-GB"/>
        </w:rPr>
        <w:lastRenderedPageBreak/>
        <w:t>Alternative uses of council owned property £100k per annum – the council will explore the alternative uses of</w:t>
      </w:r>
      <w:r w:rsidR="38A4CDC2" w:rsidRPr="6F9FB908">
        <w:rPr>
          <w:rFonts w:eastAsia="Arial" w:cs="Arial"/>
          <w:color w:val="000000" w:themeColor="text1"/>
          <w:lang w:eastAsia="en-GB"/>
        </w:rPr>
        <w:t xml:space="preserve"> </w:t>
      </w:r>
      <w:r w:rsidR="00097FD6" w:rsidRPr="6F9FB908">
        <w:rPr>
          <w:rFonts w:eastAsia="Arial" w:cs="Arial"/>
          <w:color w:val="000000" w:themeColor="text1"/>
          <w:lang w:eastAsia="en-GB"/>
        </w:rPr>
        <w:t>upper floors</w:t>
      </w:r>
      <w:r w:rsidR="67E6D667" w:rsidRPr="6F9FB908">
        <w:rPr>
          <w:rFonts w:eastAsia="Arial" w:cs="Arial"/>
          <w:color w:val="000000" w:themeColor="text1"/>
          <w:lang w:eastAsia="en-GB"/>
        </w:rPr>
        <w:t>.</w:t>
      </w:r>
      <w:r w:rsidR="006734EF">
        <w:rPr>
          <w:rFonts w:eastAsia="Arial" w:cs="Arial"/>
          <w:color w:val="000000" w:themeColor="text1"/>
          <w:lang w:eastAsia="en-GB"/>
        </w:rPr>
        <w:t xml:space="preserve"> </w:t>
      </w:r>
    </w:p>
    <w:p w14:paraId="04AB0B64" w14:textId="20144C0E" w:rsidR="3601E2E2" w:rsidRDefault="3704AFAA" w:rsidP="009046B9">
      <w:pPr>
        <w:pStyle w:val="ListParagraph"/>
        <w:numPr>
          <w:ilvl w:val="0"/>
          <w:numId w:val="35"/>
        </w:numPr>
        <w:rPr>
          <w:rFonts w:eastAsia="Arial" w:cs="Arial"/>
          <w:color w:val="000000" w:themeColor="text1"/>
          <w:lang w:eastAsia="en-GB"/>
        </w:rPr>
      </w:pPr>
      <w:r w:rsidRPr="6F9FB908">
        <w:rPr>
          <w:rFonts w:eastAsia="Arial" w:cs="Arial"/>
          <w:color w:val="000000" w:themeColor="text1"/>
          <w:lang w:eastAsia="en-GB"/>
        </w:rPr>
        <w:t>Ca</w:t>
      </w:r>
      <w:r w:rsidR="0CC37EC5" w:rsidRPr="6F9FB908">
        <w:rPr>
          <w:rFonts w:eastAsia="Arial" w:cs="Arial"/>
          <w:color w:val="000000" w:themeColor="text1"/>
          <w:lang w:eastAsia="en-GB"/>
        </w:rPr>
        <w:t xml:space="preserve">pital </w:t>
      </w:r>
      <w:r w:rsidR="0BD85446" w:rsidRPr="6F9FB908">
        <w:rPr>
          <w:rFonts w:eastAsia="Arial" w:cs="Arial"/>
          <w:color w:val="000000" w:themeColor="text1"/>
          <w:lang w:eastAsia="en-GB"/>
        </w:rPr>
        <w:t>receipt</w:t>
      </w:r>
      <w:r w:rsidR="0CC37EC5" w:rsidRPr="6F9FB908">
        <w:rPr>
          <w:rFonts w:eastAsia="Arial" w:cs="Arial"/>
          <w:color w:val="000000" w:themeColor="text1"/>
          <w:lang w:eastAsia="en-GB"/>
        </w:rPr>
        <w:t xml:space="preserve"> from land transaction</w:t>
      </w:r>
      <w:r w:rsidR="0752F9A9" w:rsidRPr="6F9FB908">
        <w:rPr>
          <w:rFonts w:eastAsia="Arial" w:cs="Arial"/>
          <w:color w:val="000000" w:themeColor="text1"/>
          <w:lang w:eastAsia="en-GB"/>
        </w:rPr>
        <w:t>s</w:t>
      </w:r>
      <w:r w:rsidR="0CC37EC5" w:rsidRPr="6F9FB908">
        <w:rPr>
          <w:rFonts w:eastAsia="Arial" w:cs="Arial"/>
          <w:color w:val="000000" w:themeColor="text1"/>
          <w:lang w:eastAsia="en-GB"/>
        </w:rPr>
        <w:t xml:space="preserve"> of around £9m with revenue impact of circa £700k per </w:t>
      </w:r>
      <w:proofErr w:type="gramStart"/>
      <w:r w:rsidR="0CC37EC5" w:rsidRPr="6F9FB908">
        <w:rPr>
          <w:rFonts w:eastAsia="Arial" w:cs="Arial"/>
          <w:color w:val="000000" w:themeColor="text1"/>
          <w:lang w:eastAsia="en-GB"/>
        </w:rPr>
        <w:t>annum</w:t>
      </w:r>
      <w:proofErr w:type="gramEnd"/>
    </w:p>
    <w:p w14:paraId="2E22850A" w14:textId="2795B235" w:rsidR="3601E2E2" w:rsidRDefault="3601E2E2" w:rsidP="009046B9">
      <w:pPr>
        <w:pStyle w:val="ListParagraph"/>
        <w:numPr>
          <w:ilvl w:val="0"/>
          <w:numId w:val="35"/>
        </w:numPr>
        <w:rPr>
          <w:rFonts w:eastAsia="Arial" w:cs="Arial"/>
        </w:rPr>
      </w:pPr>
      <w:r w:rsidRPr="6F9FB908">
        <w:rPr>
          <w:rFonts w:eastAsia="Arial" w:cs="Arial"/>
          <w:color w:val="000000" w:themeColor="text1"/>
          <w:lang w:eastAsia="en-GB"/>
        </w:rPr>
        <w:t xml:space="preserve">A </w:t>
      </w:r>
      <w:r w:rsidR="06165354" w:rsidRPr="6F9FB908">
        <w:rPr>
          <w:rFonts w:eastAsia="Arial" w:cs="Arial"/>
          <w:color w:val="000000" w:themeColor="text1"/>
          <w:lang w:eastAsia="en-GB"/>
        </w:rPr>
        <w:t>targeted</w:t>
      </w:r>
      <w:r w:rsidRPr="6F9FB908">
        <w:rPr>
          <w:rFonts w:eastAsia="Arial" w:cs="Arial"/>
          <w:color w:val="000000" w:themeColor="text1"/>
          <w:lang w:eastAsia="en-GB"/>
        </w:rPr>
        <w:t xml:space="preserve"> </w:t>
      </w:r>
      <w:r w:rsidR="463ABA09" w:rsidRPr="6F9FB908">
        <w:rPr>
          <w:rFonts w:eastAsia="Arial" w:cs="Arial"/>
          <w:color w:val="000000" w:themeColor="text1"/>
          <w:lang w:eastAsia="en-GB"/>
        </w:rPr>
        <w:t>£6 million</w:t>
      </w:r>
      <w:r w:rsidRPr="6F9FB908">
        <w:rPr>
          <w:rFonts w:eastAsia="Arial" w:cs="Arial"/>
          <w:color w:val="000000" w:themeColor="text1"/>
          <w:lang w:eastAsia="en-GB"/>
        </w:rPr>
        <w:t xml:space="preserve"> of capital receipts and a reduction in borrowing costs of around £432k per annum from</w:t>
      </w:r>
      <w:r w:rsidRPr="6F9FB908">
        <w:rPr>
          <w:rFonts w:eastAsia="Arial" w:cs="Arial"/>
          <w:color w:val="000000" w:themeColor="text1"/>
        </w:rPr>
        <w:t xml:space="preserve"> </w:t>
      </w:r>
      <w:r w:rsidR="463C0C57" w:rsidRPr="6F9FB908">
        <w:rPr>
          <w:rFonts w:eastAsia="Arial" w:cs="Arial"/>
          <w:color w:val="000000" w:themeColor="text1"/>
        </w:rPr>
        <w:t xml:space="preserve">various opportunities for freehold disposal and long lease regears. </w:t>
      </w:r>
      <w:r w:rsidR="463C0C57" w:rsidRPr="6F9FB908">
        <w:rPr>
          <w:rFonts w:eastAsia="Arial" w:cs="Arial"/>
        </w:rPr>
        <w:t xml:space="preserve"> </w:t>
      </w:r>
    </w:p>
    <w:p w14:paraId="10DC1881" w14:textId="6AB5236F" w:rsidR="59FFE8FA" w:rsidRDefault="59FFE8FA" w:rsidP="60EA432F">
      <w:pPr>
        <w:pStyle w:val="ListParagraph"/>
        <w:rPr>
          <w:rFonts w:eastAsia="Arial" w:cs="Arial"/>
          <w:color w:val="000000" w:themeColor="text1"/>
          <w:lang w:eastAsia="en-GB"/>
        </w:rPr>
      </w:pPr>
    </w:p>
    <w:p w14:paraId="4770CF35" w14:textId="45B67932" w:rsidR="005C2206" w:rsidRPr="00B96FC0" w:rsidRDefault="408888EC" w:rsidP="009046B9">
      <w:pPr>
        <w:pStyle w:val="ListParagraph"/>
        <w:numPr>
          <w:ilvl w:val="0"/>
          <w:numId w:val="25"/>
        </w:numPr>
        <w:rPr>
          <w:rFonts w:cs="Arial"/>
        </w:rPr>
      </w:pPr>
      <w:r w:rsidRPr="60EA432F">
        <w:rPr>
          <w:rFonts w:cs="Arial"/>
          <w:b/>
          <w:bCs/>
          <w:color w:val="000000" w:themeColor="text1"/>
          <w:lang w:eastAsia="en-GB"/>
        </w:rPr>
        <w:t>Planning Fees - £</w:t>
      </w:r>
      <w:r w:rsidR="0D73C089" w:rsidRPr="60EA432F">
        <w:rPr>
          <w:rFonts w:cs="Arial"/>
          <w:b/>
          <w:bCs/>
          <w:color w:val="000000" w:themeColor="text1"/>
          <w:lang w:eastAsia="en-GB"/>
        </w:rPr>
        <w:t>45</w:t>
      </w:r>
      <w:r w:rsidRPr="60EA432F">
        <w:rPr>
          <w:rFonts w:cs="Arial"/>
          <w:b/>
          <w:bCs/>
          <w:color w:val="000000" w:themeColor="text1"/>
          <w:lang w:eastAsia="en-GB"/>
        </w:rPr>
        <w:t>k</w:t>
      </w:r>
      <w:r w:rsidR="1A462BF1" w:rsidRPr="60EA432F">
        <w:rPr>
          <w:rFonts w:cs="Arial"/>
          <w:b/>
          <w:bCs/>
          <w:color w:val="000000" w:themeColor="text1"/>
          <w:lang w:eastAsia="en-GB"/>
        </w:rPr>
        <w:t xml:space="preserve"> increased income</w:t>
      </w:r>
      <w:r w:rsidRPr="60EA432F">
        <w:rPr>
          <w:rFonts w:cs="Arial"/>
          <w:b/>
          <w:bCs/>
          <w:color w:val="000000" w:themeColor="text1"/>
          <w:lang w:eastAsia="en-GB"/>
        </w:rPr>
        <w:t xml:space="preserve">. </w:t>
      </w:r>
      <w:r w:rsidR="27649BA3" w:rsidRPr="60EA432F">
        <w:rPr>
          <w:rFonts w:cs="Arial"/>
          <w:color w:val="000000" w:themeColor="text1"/>
          <w:lang w:eastAsia="en-GB"/>
        </w:rPr>
        <w:t>Plann</w:t>
      </w:r>
      <w:r w:rsidR="2F17232C" w:rsidRPr="60EA432F">
        <w:rPr>
          <w:rFonts w:cs="Arial"/>
          <w:color w:val="000000" w:themeColor="text1"/>
          <w:lang w:eastAsia="en-GB"/>
        </w:rPr>
        <w:t>in</w:t>
      </w:r>
      <w:r w:rsidR="27649BA3" w:rsidRPr="60EA432F">
        <w:rPr>
          <w:rFonts w:cs="Arial"/>
          <w:color w:val="000000" w:themeColor="text1"/>
          <w:lang w:eastAsia="en-GB"/>
        </w:rPr>
        <w:t>g fees and charges were last increased in 2023</w:t>
      </w:r>
      <w:r w:rsidR="0D584640" w:rsidRPr="60EA432F">
        <w:rPr>
          <w:rFonts w:cs="Arial"/>
          <w:color w:val="000000" w:themeColor="text1"/>
          <w:lang w:eastAsia="en-GB"/>
        </w:rPr>
        <w:t xml:space="preserve"> the </w:t>
      </w:r>
      <w:r w:rsidR="31042AA1" w:rsidRPr="60EA432F">
        <w:rPr>
          <w:rFonts w:cs="Arial"/>
          <w:color w:val="000000" w:themeColor="text1"/>
          <w:lang w:eastAsia="en-GB"/>
        </w:rPr>
        <w:t>implications</w:t>
      </w:r>
      <w:r w:rsidR="0D584640" w:rsidRPr="60EA432F">
        <w:rPr>
          <w:rFonts w:cs="Arial"/>
          <w:color w:val="000000" w:themeColor="text1"/>
          <w:lang w:eastAsia="en-GB"/>
        </w:rPr>
        <w:t xml:space="preserve"> of which are included in the fees and charges at Appendix 7</w:t>
      </w:r>
      <w:r w:rsidR="27649BA3" w:rsidRPr="60EA432F">
        <w:rPr>
          <w:rFonts w:cs="Arial"/>
          <w:color w:val="000000" w:themeColor="text1"/>
          <w:lang w:eastAsia="en-GB"/>
        </w:rPr>
        <w:t xml:space="preserve">. </w:t>
      </w:r>
      <w:r w:rsidR="394E1B17" w:rsidRPr="60EA432F">
        <w:rPr>
          <w:rFonts w:cs="Arial"/>
          <w:color w:val="000000" w:themeColor="text1"/>
          <w:lang w:eastAsia="en-GB"/>
        </w:rPr>
        <w:t xml:space="preserve">Increased income was included in the budget for this </w:t>
      </w:r>
      <w:r w:rsidR="5843A119" w:rsidRPr="60EA432F">
        <w:rPr>
          <w:rFonts w:cs="Arial"/>
          <w:color w:val="000000" w:themeColor="text1"/>
          <w:lang w:eastAsia="en-GB"/>
        </w:rPr>
        <w:t>financial</w:t>
      </w:r>
      <w:r w:rsidR="394E1B17" w:rsidRPr="60EA432F">
        <w:rPr>
          <w:rFonts w:cs="Arial"/>
          <w:color w:val="000000" w:themeColor="text1"/>
          <w:lang w:eastAsia="en-GB"/>
        </w:rPr>
        <w:t xml:space="preserve"> yea</w:t>
      </w:r>
      <w:r w:rsidR="6E55844D" w:rsidRPr="60EA432F">
        <w:rPr>
          <w:rFonts w:cs="Arial"/>
          <w:color w:val="000000" w:themeColor="text1"/>
          <w:lang w:eastAsia="en-GB"/>
        </w:rPr>
        <w:t>r</w:t>
      </w:r>
      <w:r w:rsidR="394E1B17" w:rsidRPr="60EA432F">
        <w:rPr>
          <w:rFonts w:cs="Arial"/>
          <w:color w:val="000000" w:themeColor="text1"/>
          <w:lang w:eastAsia="en-GB"/>
        </w:rPr>
        <w:t xml:space="preserve"> 2024-25 and although actual income is tracking behind the budget, delays</w:t>
      </w:r>
      <w:r w:rsidR="5002B4C5" w:rsidRPr="60EA432F">
        <w:rPr>
          <w:rFonts w:cs="Arial"/>
          <w:color w:val="000000" w:themeColor="text1"/>
          <w:lang w:eastAsia="en-GB"/>
        </w:rPr>
        <w:t xml:space="preserve"> in some </w:t>
      </w:r>
      <w:r w:rsidR="14EDA307" w:rsidRPr="60EA432F">
        <w:rPr>
          <w:rFonts w:cs="Arial"/>
          <w:color w:val="000000" w:themeColor="text1"/>
          <w:lang w:eastAsia="en-GB"/>
        </w:rPr>
        <w:t>recruitments</w:t>
      </w:r>
      <w:r w:rsidR="5002B4C5" w:rsidRPr="60EA432F">
        <w:rPr>
          <w:rFonts w:cs="Arial"/>
          <w:color w:val="000000" w:themeColor="text1"/>
          <w:lang w:eastAsia="en-GB"/>
        </w:rPr>
        <w:t xml:space="preserve"> have offset this pressure. The government ha</w:t>
      </w:r>
      <w:r w:rsidR="006734EF">
        <w:rPr>
          <w:rFonts w:cs="Arial"/>
          <w:color w:val="000000" w:themeColor="text1"/>
          <w:lang w:eastAsia="en-GB"/>
        </w:rPr>
        <w:t>s</w:t>
      </w:r>
      <w:r w:rsidR="5002B4C5" w:rsidRPr="60EA432F">
        <w:rPr>
          <w:rFonts w:cs="Arial"/>
          <w:color w:val="000000" w:themeColor="text1"/>
          <w:lang w:eastAsia="en-GB"/>
        </w:rPr>
        <w:t xml:space="preserve"> </w:t>
      </w:r>
      <w:r w:rsidR="12217149" w:rsidRPr="60EA432F">
        <w:rPr>
          <w:rFonts w:cs="Arial"/>
          <w:color w:val="000000" w:themeColor="text1"/>
          <w:lang w:eastAsia="en-GB"/>
        </w:rPr>
        <w:t>recently</w:t>
      </w:r>
      <w:r w:rsidR="5002B4C5" w:rsidRPr="60EA432F">
        <w:rPr>
          <w:rFonts w:cs="Arial"/>
          <w:color w:val="000000" w:themeColor="text1"/>
          <w:lang w:eastAsia="en-GB"/>
        </w:rPr>
        <w:t xml:space="preserve"> consulted on whether local </w:t>
      </w:r>
      <w:r w:rsidR="54096540" w:rsidRPr="60EA432F">
        <w:rPr>
          <w:rFonts w:cs="Arial"/>
          <w:color w:val="000000" w:themeColor="text1"/>
          <w:lang w:eastAsia="en-GB"/>
        </w:rPr>
        <w:t>authorities</w:t>
      </w:r>
      <w:r w:rsidR="5002B4C5" w:rsidRPr="60EA432F">
        <w:rPr>
          <w:rFonts w:cs="Arial"/>
          <w:color w:val="000000" w:themeColor="text1"/>
          <w:lang w:eastAsia="en-GB"/>
        </w:rPr>
        <w:t xml:space="preserve"> should be able to set fees </w:t>
      </w:r>
      <w:r w:rsidR="6767C0FE" w:rsidRPr="60EA432F">
        <w:rPr>
          <w:rFonts w:cs="Arial"/>
          <w:color w:val="000000" w:themeColor="text1"/>
          <w:lang w:eastAsia="en-GB"/>
        </w:rPr>
        <w:t>locally,</w:t>
      </w:r>
      <w:r w:rsidR="5002B4C5" w:rsidRPr="60EA432F">
        <w:rPr>
          <w:rFonts w:cs="Arial"/>
          <w:color w:val="000000" w:themeColor="text1"/>
          <w:lang w:eastAsia="en-GB"/>
        </w:rPr>
        <w:t xml:space="preserve"> whether the national fee </w:t>
      </w:r>
      <w:r w:rsidR="66C0AD28" w:rsidRPr="60EA432F">
        <w:rPr>
          <w:rFonts w:cs="Arial"/>
          <w:color w:val="000000" w:themeColor="text1"/>
          <w:lang w:eastAsia="en-GB"/>
        </w:rPr>
        <w:t xml:space="preserve">setting </w:t>
      </w:r>
      <w:r w:rsidR="63839C2C" w:rsidRPr="60EA432F">
        <w:rPr>
          <w:rFonts w:cs="Arial"/>
          <w:color w:val="000000" w:themeColor="text1"/>
          <w:lang w:eastAsia="en-GB"/>
        </w:rPr>
        <w:t>should</w:t>
      </w:r>
      <w:r w:rsidR="66C0AD28" w:rsidRPr="60EA432F">
        <w:rPr>
          <w:rFonts w:cs="Arial"/>
          <w:color w:val="000000" w:themeColor="text1"/>
          <w:lang w:eastAsia="en-GB"/>
        </w:rPr>
        <w:t xml:space="preserve"> continue or whether there should be a </w:t>
      </w:r>
      <w:r w:rsidR="7D1F1F24" w:rsidRPr="60EA432F">
        <w:rPr>
          <w:rFonts w:cs="Arial"/>
          <w:color w:val="000000" w:themeColor="text1"/>
          <w:lang w:eastAsia="en-GB"/>
        </w:rPr>
        <w:t>hybrid</w:t>
      </w:r>
      <w:r w:rsidR="66C0AD28" w:rsidRPr="60EA432F">
        <w:rPr>
          <w:rFonts w:cs="Arial"/>
          <w:color w:val="000000" w:themeColor="text1"/>
          <w:lang w:eastAsia="en-GB"/>
        </w:rPr>
        <w:t xml:space="preserve"> of the two. This consultation closed in September 2024 and the results are </w:t>
      </w:r>
      <w:r w:rsidR="4885B0D9" w:rsidRPr="60EA432F">
        <w:rPr>
          <w:rFonts w:cs="Arial"/>
          <w:color w:val="000000" w:themeColor="text1"/>
          <w:lang w:eastAsia="en-GB"/>
        </w:rPr>
        <w:t>awaited</w:t>
      </w:r>
      <w:r w:rsidR="66C0AD28" w:rsidRPr="60EA432F">
        <w:rPr>
          <w:rFonts w:cs="Arial"/>
          <w:color w:val="000000" w:themeColor="text1"/>
          <w:lang w:eastAsia="en-GB"/>
        </w:rPr>
        <w:t>. Should changes be agreed by Government th</w:t>
      </w:r>
      <w:r w:rsidR="45DD2445" w:rsidRPr="60EA432F">
        <w:rPr>
          <w:rFonts w:cs="Arial"/>
          <w:color w:val="000000" w:themeColor="text1"/>
          <w:lang w:eastAsia="en-GB"/>
        </w:rPr>
        <w:t xml:space="preserve">en a </w:t>
      </w:r>
      <w:r w:rsidR="61CC2CA2" w:rsidRPr="60EA432F">
        <w:rPr>
          <w:rFonts w:cs="Arial"/>
          <w:color w:val="000000" w:themeColor="text1"/>
          <w:lang w:eastAsia="en-GB"/>
        </w:rPr>
        <w:t>report</w:t>
      </w:r>
      <w:r w:rsidR="45DD2445" w:rsidRPr="60EA432F">
        <w:rPr>
          <w:rFonts w:cs="Arial"/>
          <w:color w:val="000000" w:themeColor="text1"/>
          <w:lang w:eastAsia="en-GB"/>
        </w:rPr>
        <w:t xml:space="preserve"> will be tabled at Cabinet to discuss the </w:t>
      </w:r>
      <w:r w:rsidR="418A2B38" w:rsidRPr="60EA432F">
        <w:rPr>
          <w:rFonts w:cs="Arial"/>
          <w:color w:val="000000" w:themeColor="text1"/>
          <w:lang w:eastAsia="en-GB"/>
        </w:rPr>
        <w:t>implications</w:t>
      </w:r>
      <w:r w:rsidR="619811EE" w:rsidRPr="60EA432F">
        <w:rPr>
          <w:rFonts w:cs="Arial"/>
          <w:color w:val="000000" w:themeColor="text1"/>
          <w:lang w:eastAsia="en-GB"/>
        </w:rPr>
        <w:t>.</w:t>
      </w:r>
      <w:r w:rsidR="45DD2445" w:rsidRPr="60EA432F">
        <w:rPr>
          <w:rFonts w:cs="Arial"/>
          <w:b/>
          <w:bCs/>
          <w:color w:val="000000" w:themeColor="text1"/>
          <w:lang w:eastAsia="en-GB"/>
        </w:rPr>
        <w:t xml:space="preserve"> </w:t>
      </w:r>
    </w:p>
    <w:p w14:paraId="0F4F57D9" w14:textId="47B53785" w:rsidR="005C2206" w:rsidRPr="00B96FC0" w:rsidRDefault="08B58B5C" w:rsidP="009046B9">
      <w:pPr>
        <w:pStyle w:val="ListParagraph"/>
        <w:numPr>
          <w:ilvl w:val="0"/>
          <w:numId w:val="25"/>
        </w:numPr>
        <w:rPr>
          <w:rFonts w:cs="Arial"/>
          <w:highlight w:val="yellow"/>
        </w:rPr>
      </w:pPr>
      <w:r w:rsidRPr="60EA432F">
        <w:rPr>
          <w:rFonts w:cs="Arial"/>
          <w:b/>
          <w:bCs/>
        </w:rPr>
        <w:t>Car parking income</w:t>
      </w:r>
      <w:r w:rsidR="41DC1742" w:rsidRPr="60EA432F">
        <w:rPr>
          <w:rFonts w:cs="Arial"/>
          <w:b/>
          <w:bCs/>
        </w:rPr>
        <w:t xml:space="preserve"> </w:t>
      </w:r>
      <w:r w:rsidRPr="60EA432F">
        <w:rPr>
          <w:rFonts w:cs="Arial"/>
          <w:b/>
          <w:bCs/>
        </w:rPr>
        <w:t xml:space="preserve">- </w:t>
      </w:r>
      <w:r w:rsidR="37832606" w:rsidRPr="60EA432F">
        <w:rPr>
          <w:rFonts w:cs="Arial"/>
          <w:b/>
          <w:bCs/>
        </w:rPr>
        <w:t>£6</w:t>
      </w:r>
      <w:r w:rsidR="3BCF2910" w:rsidRPr="60EA432F">
        <w:rPr>
          <w:rFonts w:cs="Arial"/>
          <w:b/>
          <w:bCs/>
        </w:rPr>
        <w:t>.8</w:t>
      </w:r>
      <w:r w:rsidR="37832606" w:rsidRPr="60EA432F">
        <w:rPr>
          <w:rFonts w:cs="Arial"/>
          <w:b/>
          <w:bCs/>
        </w:rPr>
        <w:t xml:space="preserve"> million.</w:t>
      </w:r>
      <w:r w:rsidR="37832606" w:rsidRPr="60EA432F">
        <w:rPr>
          <w:rFonts w:cs="Arial"/>
        </w:rPr>
        <w:t xml:space="preserve"> </w:t>
      </w:r>
      <w:r w:rsidRPr="60EA432F">
        <w:rPr>
          <w:rFonts w:cs="Arial"/>
        </w:rPr>
        <w:t xml:space="preserve">Car parking income </w:t>
      </w:r>
      <w:r w:rsidR="008009B9" w:rsidRPr="60EA432F">
        <w:rPr>
          <w:rFonts w:cs="Arial"/>
        </w:rPr>
        <w:t>this</w:t>
      </w:r>
      <w:r w:rsidR="50CF49DC" w:rsidRPr="60EA432F">
        <w:rPr>
          <w:rFonts w:cs="Arial"/>
        </w:rPr>
        <w:t xml:space="preserve"> year at the half </w:t>
      </w:r>
      <w:r w:rsidR="593F9A35" w:rsidRPr="60EA432F">
        <w:rPr>
          <w:rFonts w:cs="Arial"/>
        </w:rPr>
        <w:t xml:space="preserve">year </w:t>
      </w:r>
      <w:r w:rsidR="50CF49DC" w:rsidRPr="60EA432F">
        <w:rPr>
          <w:rFonts w:cs="Arial"/>
        </w:rPr>
        <w:t>shows an increase of around £</w:t>
      </w:r>
      <w:r w:rsidR="71F3C925" w:rsidRPr="60EA432F">
        <w:rPr>
          <w:rFonts w:cs="Arial"/>
        </w:rPr>
        <w:t>500K</w:t>
      </w:r>
      <w:r w:rsidR="50CF49DC" w:rsidRPr="60EA432F">
        <w:rPr>
          <w:rFonts w:cs="Arial"/>
        </w:rPr>
        <w:t xml:space="preserve"> </w:t>
      </w:r>
      <w:r w:rsidR="233005F5" w:rsidRPr="60EA432F">
        <w:rPr>
          <w:rFonts w:cs="Arial"/>
        </w:rPr>
        <w:t xml:space="preserve">against the profile </w:t>
      </w:r>
      <w:r w:rsidR="4F871BBA" w:rsidRPr="60EA432F">
        <w:rPr>
          <w:rFonts w:cs="Arial"/>
        </w:rPr>
        <w:t>a</w:t>
      </w:r>
      <w:r w:rsidR="50CF49DC" w:rsidRPr="60EA432F">
        <w:rPr>
          <w:rFonts w:cs="Arial"/>
        </w:rPr>
        <w:t xml:space="preserve">lbeit with 6 months of the year to go. </w:t>
      </w:r>
      <w:r w:rsidR="37832606" w:rsidRPr="60EA432F">
        <w:rPr>
          <w:rFonts w:cs="Arial"/>
        </w:rPr>
        <w:t xml:space="preserve">The largest </w:t>
      </w:r>
      <w:r w:rsidR="633DC620" w:rsidRPr="60EA432F">
        <w:rPr>
          <w:rFonts w:cs="Arial"/>
        </w:rPr>
        <w:t xml:space="preserve">forecast increases are in park and rides and </w:t>
      </w:r>
      <w:proofErr w:type="spellStart"/>
      <w:r w:rsidR="633DC620" w:rsidRPr="60EA432F">
        <w:rPr>
          <w:rFonts w:cs="Arial"/>
        </w:rPr>
        <w:t>Oxpens</w:t>
      </w:r>
      <w:proofErr w:type="spellEnd"/>
      <w:r w:rsidR="633DC620" w:rsidRPr="60EA432F">
        <w:rPr>
          <w:rFonts w:cs="Arial"/>
        </w:rPr>
        <w:t xml:space="preserve"> car park although the latter is due to close</w:t>
      </w:r>
      <w:r w:rsidR="00344269">
        <w:rPr>
          <w:rFonts w:cs="Arial"/>
        </w:rPr>
        <w:t xml:space="preserve"> </w:t>
      </w:r>
      <w:r w:rsidR="633DC620" w:rsidRPr="60EA432F">
        <w:rPr>
          <w:rFonts w:cs="Arial"/>
        </w:rPr>
        <w:t xml:space="preserve">in 2025-26. </w:t>
      </w:r>
      <w:r w:rsidR="1854DD26" w:rsidRPr="60EA432F">
        <w:rPr>
          <w:rFonts w:cs="Arial"/>
        </w:rPr>
        <w:t>We will continue to track the income and the potential impact on future years of the MTFP.</w:t>
      </w:r>
      <w:r w:rsidR="436A785F" w:rsidRPr="60EA432F">
        <w:rPr>
          <w:rFonts w:cs="Arial"/>
        </w:rPr>
        <w:t xml:space="preserve"> </w:t>
      </w:r>
      <w:r w:rsidR="37832606" w:rsidRPr="60EA432F">
        <w:rPr>
          <w:rFonts w:cs="Arial"/>
        </w:rPr>
        <w:t>Changes to parking tariffs in the budget proposals from 1-4-202</w:t>
      </w:r>
      <w:r w:rsidR="4DF89A65" w:rsidRPr="60EA432F">
        <w:rPr>
          <w:rFonts w:cs="Arial"/>
        </w:rPr>
        <w:t>5</w:t>
      </w:r>
      <w:r w:rsidR="37832606" w:rsidRPr="60EA432F">
        <w:rPr>
          <w:rFonts w:cs="Arial"/>
        </w:rPr>
        <w:t xml:space="preserve"> include increases of </w:t>
      </w:r>
      <w:r w:rsidR="7DCE1AA9" w:rsidRPr="60EA432F">
        <w:rPr>
          <w:rFonts w:cs="Arial"/>
        </w:rPr>
        <w:t>3</w:t>
      </w:r>
      <w:r w:rsidR="37832606" w:rsidRPr="60EA432F">
        <w:rPr>
          <w:rFonts w:cs="Arial"/>
        </w:rPr>
        <w:t xml:space="preserve">0p </w:t>
      </w:r>
      <w:r w:rsidR="25A975AD" w:rsidRPr="60EA432F">
        <w:rPr>
          <w:rFonts w:cs="Arial"/>
        </w:rPr>
        <w:t xml:space="preserve">on all tariffs </w:t>
      </w:r>
      <w:r w:rsidR="37832606" w:rsidRPr="60EA432F">
        <w:rPr>
          <w:rFonts w:cs="Arial"/>
        </w:rPr>
        <w:t xml:space="preserve">for </w:t>
      </w:r>
      <w:r w:rsidR="3C008969" w:rsidRPr="60EA432F">
        <w:rPr>
          <w:rFonts w:cs="Arial"/>
        </w:rPr>
        <w:t xml:space="preserve">city centre car parks </w:t>
      </w:r>
      <w:r w:rsidR="20E32075" w:rsidRPr="60EA432F">
        <w:rPr>
          <w:rFonts w:cs="Arial"/>
        </w:rPr>
        <w:t xml:space="preserve">and 20p – 30p on all tariffs for others. There is also a projection of around £50k per annum in future years </w:t>
      </w:r>
      <w:r w:rsidR="5D70B2C1" w:rsidRPr="60EA432F">
        <w:rPr>
          <w:rFonts w:cs="Arial"/>
        </w:rPr>
        <w:t xml:space="preserve">of the MTFP on the expectation of similar increases.  </w:t>
      </w:r>
      <w:r w:rsidR="37832606" w:rsidRPr="60EA432F">
        <w:rPr>
          <w:rFonts w:cs="Arial"/>
        </w:rPr>
        <w:t xml:space="preserve"> </w:t>
      </w:r>
      <w:r w:rsidR="005C2206">
        <w:tab/>
      </w:r>
    </w:p>
    <w:p w14:paraId="32EC08E8" w14:textId="0897FD95" w:rsidR="005C2206" w:rsidRPr="00B96FC0" w:rsidRDefault="005C2206" w:rsidP="009046B9">
      <w:pPr>
        <w:pStyle w:val="ListParagraph"/>
        <w:numPr>
          <w:ilvl w:val="0"/>
          <w:numId w:val="25"/>
        </w:numPr>
        <w:tabs>
          <w:tab w:val="left" w:pos="1701"/>
        </w:tabs>
        <w:ind w:right="386"/>
        <w:rPr>
          <w:rFonts w:cs="Arial"/>
        </w:rPr>
      </w:pPr>
      <w:r w:rsidRPr="1EDB5DC6">
        <w:rPr>
          <w:rFonts w:cs="Arial"/>
          <w:b/>
        </w:rPr>
        <w:t xml:space="preserve">Environmental </w:t>
      </w:r>
      <w:r w:rsidR="004419FE" w:rsidRPr="1EDB5DC6">
        <w:rPr>
          <w:rFonts w:cs="Arial"/>
          <w:b/>
        </w:rPr>
        <w:t>Sustainability</w:t>
      </w:r>
      <w:r w:rsidRPr="1EDB5DC6">
        <w:rPr>
          <w:rFonts w:cs="Arial"/>
          <w:b/>
        </w:rPr>
        <w:t xml:space="preserve"> </w:t>
      </w:r>
      <w:r w:rsidR="0BC285AF" w:rsidRPr="1EDB5DC6">
        <w:rPr>
          <w:rFonts w:cs="Arial"/>
          <w:b/>
          <w:bCs/>
        </w:rPr>
        <w:t>–</w:t>
      </w:r>
      <w:r w:rsidR="7E45B184" w:rsidRPr="1EDB5DC6">
        <w:rPr>
          <w:rFonts w:cs="Arial"/>
          <w:b/>
          <w:bCs/>
        </w:rPr>
        <w:t xml:space="preserve">£90k </w:t>
      </w:r>
      <w:r w:rsidR="5A1B4509" w:rsidRPr="1EDB5DC6">
        <w:rPr>
          <w:rFonts w:cs="Arial"/>
          <w:b/>
          <w:bCs/>
        </w:rPr>
        <w:t xml:space="preserve">net </w:t>
      </w:r>
      <w:r w:rsidR="7E45B184" w:rsidRPr="1EDB5DC6">
        <w:rPr>
          <w:rFonts w:cs="Arial"/>
          <w:b/>
          <w:bCs/>
        </w:rPr>
        <w:t xml:space="preserve">pressure. </w:t>
      </w:r>
      <w:r w:rsidR="004419FE" w:rsidRPr="1EDB5DC6">
        <w:rPr>
          <w:rFonts w:cs="Arial"/>
        </w:rPr>
        <w:t xml:space="preserve">The Council </w:t>
      </w:r>
      <w:r w:rsidR="3FDE4ACF" w:rsidRPr="1EDB5DC6">
        <w:rPr>
          <w:rFonts w:cs="Arial"/>
        </w:rPr>
        <w:t>was</w:t>
      </w:r>
      <w:r w:rsidR="004419FE" w:rsidRPr="1EDB5DC6">
        <w:rPr>
          <w:rFonts w:cs="Arial"/>
        </w:rPr>
        <w:t xml:space="preserve"> at the forefront of </w:t>
      </w:r>
      <w:r w:rsidR="0BC285AF" w:rsidRPr="1EDB5DC6">
        <w:rPr>
          <w:rFonts w:cs="Arial"/>
        </w:rPr>
        <w:t>establish</w:t>
      </w:r>
      <w:r w:rsidR="462B2848" w:rsidRPr="1EDB5DC6">
        <w:rPr>
          <w:rFonts w:cs="Arial"/>
        </w:rPr>
        <w:t>ing</w:t>
      </w:r>
      <w:r w:rsidR="004419FE" w:rsidRPr="1EDB5DC6">
        <w:rPr>
          <w:rFonts w:cs="Arial"/>
        </w:rPr>
        <w:t xml:space="preserve"> a Dynamic Purchasing System (DPS) procurement </w:t>
      </w:r>
      <w:r w:rsidR="00287A48" w:rsidRPr="1EDB5DC6">
        <w:rPr>
          <w:rFonts w:cs="Arial"/>
        </w:rPr>
        <w:t>platform</w:t>
      </w:r>
      <w:r w:rsidR="004419FE" w:rsidRPr="1EDB5DC6">
        <w:rPr>
          <w:rFonts w:cs="Arial"/>
        </w:rPr>
        <w:t xml:space="preserve"> for other authorities to use. </w:t>
      </w:r>
      <w:r w:rsidR="3A02CAA1" w:rsidRPr="1EDB5DC6">
        <w:rPr>
          <w:rFonts w:cs="Arial"/>
        </w:rPr>
        <w:t xml:space="preserve">National changes in concession contract </w:t>
      </w:r>
      <w:r w:rsidR="3FC3FA90" w:rsidRPr="1EDB5DC6">
        <w:rPr>
          <w:rFonts w:cs="Arial"/>
        </w:rPr>
        <w:t>regulations</w:t>
      </w:r>
      <w:r w:rsidR="3A02CAA1" w:rsidRPr="1EDB5DC6">
        <w:rPr>
          <w:rFonts w:cs="Arial"/>
        </w:rPr>
        <w:t xml:space="preserve"> have </w:t>
      </w:r>
      <w:r w:rsidR="231AD138" w:rsidRPr="1EDB5DC6">
        <w:rPr>
          <w:rFonts w:cs="Arial"/>
        </w:rPr>
        <w:t>severely</w:t>
      </w:r>
      <w:r w:rsidR="3A02CAA1" w:rsidRPr="1EDB5DC6">
        <w:rPr>
          <w:rFonts w:cs="Arial"/>
        </w:rPr>
        <w:t xml:space="preserve"> impacted planed growth of the DPS with expected </w:t>
      </w:r>
      <w:r w:rsidR="7EDBE05D" w:rsidRPr="1EDB5DC6">
        <w:rPr>
          <w:rFonts w:cs="Arial"/>
        </w:rPr>
        <w:t>income</w:t>
      </w:r>
      <w:r w:rsidR="3A02CAA1" w:rsidRPr="1EDB5DC6">
        <w:rPr>
          <w:rFonts w:cs="Arial"/>
        </w:rPr>
        <w:t xml:space="preserve"> dropping to </w:t>
      </w:r>
      <w:r w:rsidR="7F8E67B9" w:rsidRPr="1EDB5DC6">
        <w:rPr>
          <w:rFonts w:cs="Arial"/>
        </w:rPr>
        <w:t>around</w:t>
      </w:r>
      <w:r w:rsidR="3A02CAA1" w:rsidRPr="1EDB5DC6">
        <w:rPr>
          <w:rFonts w:cs="Arial"/>
        </w:rPr>
        <w:t xml:space="preserve"> £25k-£30</w:t>
      </w:r>
      <w:r w:rsidR="68D60819" w:rsidRPr="1EDB5DC6">
        <w:rPr>
          <w:rFonts w:cs="Arial"/>
        </w:rPr>
        <w:t>k from</w:t>
      </w:r>
      <w:r w:rsidR="5B65CDDF" w:rsidRPr="1EDB5DC6">
        <w:rPr>
          <w:rFonts w:cs="Arial"/>
        </w:rPr>
        <w:t xml:space="preserve"> the projects £190k in 2024-25. </w:t>
      </w:r>
      <w:r w:rsidR="0BC285AF" w:rsidRPr="1EDB5DC6">
        <w:rPr>
          <w:rFonts w:cs="Arial"/>
        </w:rPr>
        <w:t xml:space="preserve"> </w:t>
      </w:r>
    </w:p>
    <w:p w14:paraId="429C59C9" w14:textId="0788B092" w:rsidR="004B6E03" w:rsidRPr="00B96FC0" w:rsidRDefault="004B6E03" w:rsidP="009046B9">
      <w:pPr>
        <w:pStyle w:val="ListParagraph"/>
        <w:numPr>
          <w:ilvl w:val="0"/>
          <w:numId w:val="25"/>
        </w:numPr>
        <w:tabs>
          <w:tab w:val="left" w:pos="1701"/>
        </w:tabs>
        <w:ind w:right="386"/>
        <w:rPr>
          <w:rFonts w:cs="Arial"/>
        </w:rPr>
      </w:pPr>
      <w:r w:rsidRPr="1EDB5DC6">
        <w:rPr>
          <w:rFonts w:cs="Arial"/>
          <w:b/>
        </w:rPr>
        <w:t>Electronic Vehicle Infrastructure</w:t>
      </w:r>
      <w:r w:rsidRPr="1EDB5DC6">
        <w:rPr>
          <w:rFonts w:cs="Arial"/>
        </w:rPr>
        <w:t xml:space="preserve"> –Utilising Government funding the council are looking to install and grant concession contracts for charging points in the city. </w:t>
      </w:r>
      <w:r w:rsidR="00287A48" w:rsidRPr="1EDB5DC6">
        <w:rPr>
          <w:rFonts w:cs="Arial"/>
        </w:rPr>
        <w:t>Net i</w:t>
      </w:r>
      <w:r w:rsidRPr="1EDB5DC6">
        <w:rPr>
          <w:rFonts w:cs="Arial"/>
        </w:rPr>
        <w:t>ncome is estimated at around £</w:t>
      </w:r>
      <w:r w:rsidR="7EDA247A" w:rsidRPr="1EDB5DC6">
        <w:rPr>
          <w:rFonts w:cs="Arial"/>
        </w:rPr>
        <w:t>1</w:t>
      </w:r>
      <w:r w:rsidR="3BF642E2" w:rsidRPr="1EDB5DC6">
        <w:rPr>
          <w:rFonts w:cs="Arial"/>
        </w:rPr>
        <w:t>2</w:t>
      </w:r>
      <w:r w:rsidR="7EDA247A" w:rsidRPr="1EDB5DC6">
        <w:rPr>
          <w:rFonts w:cs="Arial"/>
        </w:rPr>
        <w:t>0k</w:t>
      </w:r>
      <w:r w:rsidRPr="1EDB5DC6">
        <w:rPr>
          <w:rFonts w:cs="Arial"/>
        </w:rPr>
        <w:t xml:space="preserve"> per annum by year 4 of the MTFP. </w:t>
      </w:r>
    </w:p>
    <w:p w14:paraId="430ECFD2" w14:textId="31BEC9AA" w:rsidR="002D38AF" w:rsidRPr="00B96FC0" w:rsidRDefault="52ACC705" w:rsidP="00F42D9C">
      <w:pPr>
        <w:pStyle w:val="ListParagraph"/>
        <w:tabs>
          <w:tab w:val="left" w:pos="1701"/>
        </w:tabs>
        <w:spacing w:after="120"/>
        <w:ind w:left="709" w:right="386" w:hanging="425"/>
        <w:rPr>
          <w:rFonts w:cs="Arial"/>
        </w:rPr>
      </w:pPr>
      <w:r w:rsidRPr="6F9FB908">
        <w:rPr>
          <w:rFonts w:cs="Arial"/>
          <w:b/>
          <w:bCs/>
        </w:rPr>
        <w:t xml:space="preserve"> </w:t>
      </w:r>
      <w:r w:rsidRPr="00F42D9C">
        <w:rPr>
          <w:rFonts w:cs="Arial"/>
        </w:rPr>
        <w:t>f</w:t>
      </w:r>
      <w:r w:rsidR="7BADD603" w:rsidRPr="00F42D9C">
        <w:rPr>
          <w:rFonts w:cs="Arial"/>
        </w:rPr>
        <w:t>)</w:t>
      </w:r>
      <w:r w:rsidR="7BADD603" w:rsidRPr="6F9FB908">
        <w:rPr>
          <w:rFonts w:cs="Arial"/>
          <w:b/>
          <w:bCs/>
        </w:rPr>
        <w:t xml:space="preserve"> </w:t>
      </w:r>
      <w:r w:rsidR="00F42D9C">
        <w:rPr>
          <w:rFonts w:cs="Arial"/>
          <w:b/>
          <w:bCs/>
        </w:rPr>
        <w:t xml:space="preserve">  </w:t>
      </w:r>
      <w:r w:rsidR="0D2FA32B" w:rsidRPr="6F9FB908">
        <w:rPr>
          <w:rFonts w:cs="Arial"/>
          <w:b/>
          <w:bCs/>
        </w:rPr>
        <w:t xml:space="preserve">ZEZ pilot </w:t>
      </w:r>
      <w:r w:rsidR="767C57D9" w:rsidRPr="6F9FB908">
        <w:rPr>
          <w:rFonts w:cs="Arial"/>
          <w:b/>
          <w:bCs/>
        </w:rPr>
        <w:t>–</w:t>
      </w:r>
      <w:r w:rsidR="0D2FA32B" w:rsidRPr="6F9FB908">
        <w:rPr>
          <w:rFonts w:cs="Arial"/>
          <w:b/>
          <w:bCs/>
        </w:rPr>
        <w:t xml:space="preserve"> </w:t>
      </w:r>
      <w:r w:rsidR="767C57D9" w:rsidRPr="6F9FB908">
        <w:rPr>
          <w:rFonts w:cs="Arial"/>
        </w:rPr>
        <w:t xml:space="preserve">In 2023/24 £100k income was included within the budget on a </w:t>
      </w:r>
      <w:proofErr w:type="gramStart"/>
      <w:r w:rsidR="767C57D9" w:rsidRPr="6F9FB908">
        <w:rPr>
          <w:rFonts w:cs="Arial"/>
        </w:rPr>
        <w:t xml:space="preserve">2 </w:t>
      </w:r>
      <w:r w:rsidR="00A37BBD" w:rsidRPr="6F9FB908">
        <w:rPr>
          <w:rFonts w:cs="Arial"/>
        </w:rPr>
        <w:t xml:space="preserve"> </w:t>
      </w:r>
      <w:r w:rsidR="767C57D9" w:rsidRPr="6F9FB908">
        <w:rPr>
          <w:rFonts w:cs="Arial"/>
        </w:rPr>
        <w:t>year</w:t>
      </w:r>
      <w:proofErr w:type="gramEnd"/>
      <w:r w:rsidR="767C57D9" w:rsidRPr="6F9FB908">
        <w:rPr>
          <w:rFonts w:cs="Arial"/>
        </w:rPr>
        <w:t xml:space="preserve"> pilot. </w:t>
      </w:r>
      <w:r w:rsidR="4ABC34C2" w:rsidRPr="6F9FB908">
        <w:rPr>
          <w:rFonts w:cs="Arial"/>
        </w:rPr>
        <w:t>This amount has been increased from 2025-26 to £210k per annum</w:t>
      </w:r>
      <w:r w:rsidR="4E211985" w:rsidRPr="6F9FB908">
        <w:rPr>
          <w:rFonts w:cs="Arial"/>
        </w:rPr>
        <w:t xml:space="preserve"> </w:t>
      </w:r>
      <w:r w:rsidR="4ABC34C2" w:rsidRPr="6F9FB908">
        <w:rPr>
          <w:rFonts w:cs="Arial"/>
        </w:rPr>
        <w:t xml:space="preserve">although from 2027-28 this amount </w:t>
      </w:r>
      <w:r w:rsidR="006734EF">
        <w:rPr>
          <w:rFonts w:cs="Arial"/>
        </w:rPr>
        <w:t>may</w:t>
      </w:r>
      <w:r w:rsidR="006734EF" w:rsidRPr="6F9FB908">
        <w:rPr>
          <w:rFonts w:cs="Arial"/>
        </w:rPr>
        <w:t xml:space="preserve"> </w:t>
      </w:r>
      <w:r w:rsidR="4ABC34C2" w:rsidRPr="6F9FB908">
        <w:rPr>
          <w:rFonts w:cs="Arial"/>
        </w:rPr>
        <w:t>reduce to zero</w:t>
      </w:r>
      <w:r w:rsidR="5114A2F6" w:rsidRPr="6F9FB908">
        <w:rPr>
          <w:rFonts w:cs="Arial"/>
        </w:rPr>
        <w:t xml:space="preserve"> at the point </w:t>
      </w:r>
      <w:r w:rsidR="006734EF">
        <w:rPr>
          <w:rFonts w:cs="Arial"/>
        </w:rPr>
        <w:t xml:space="preserve">as and </w:t>
      </w:r>
      <w:r w:rsidR="5114A2F6" w:rsidRPr="6F9FB908">
        <w:rPr>
          <w:rFonts w:cs="Arial"/>
        </w:rPr>
        <w:t xml:space="preserve">when the County Council creates </w:t>
      </w:r>
      <w:r w:rsidR="006734EF">
        <w:rPr>
          <w:rFonts w:cs="Arial"/>
        </w:rPr>
        <w:t>a</w:t>
      </w:r>
      <w:r w:rsidR="006734EF" w:rsidRPr="6F9FB908">
        <w:rPr>
          <w:rFonts w:cs="Arial"/>
        </w:rPr>
        <w:t xml:space="preserve"> </w:t>
      </w:r>
      <w:r w:rsidR="5114A2F6" w:rsidRPr="6F9FB908">
        <w:rPr>
          <w:rFonts w:cs="Arial"/>
        </w:rPr>
        <w:t>city wide Zero Emission Zone</w:t>
      </w:r>
      <w:r w:rsidR="006734EF">
        <w:rPr>
          <w:rFonts w:cs="Arial"/>
        </w:rPr>
        <w:t>, as it has no wish to partner with Oxford City Council</w:t>
      </w:r>
      <w:r w:rsidR="5114A2F6" w:rsidRPr="6F9FB908">
        <w:rPr>
          <w:rFonts w:cs="Arial"/>
        </w:rPr>
        <w:t xml:space="preserve">. </w:t>
      </w:r>
    </w:p>
    <w:p w14:paraId="269B5D25" w14:textId="7F4B536C" w:rsidR="00AE5224" w:rsidRPr="00B96FC0" w:rsidRDefault="1CCF43DD" w:rsidP="00F42D9C">
      <w:pPr>
        <w:pStyle w:val="ListParagraph"/>
        <w:tabs>
          <w:tab w:val="left" w:pos="1701"/>
        </w:tabs>
        <w:spacing w:after="120"/>
        <w:ind w:right="386" w:hanging="436"/>
      </w:pPr>
      <w:r w:rsidRPr="60EA432F">
        <w:rPr>
          <w:rFonts w:cs="Arial"/>
          <w:b/>
          <w:bCs/>
        </w:rPr>
        <w:t xml:space="preserve"> </w:t>
      </w:r>
      <w:proofErr w:type="gramStart"/>
      <w:r w:rsidR="60BADA7E" w:rsidRPr="00F42D9C">
        <w:rPr>
          <w:rFonts w:cs="Arial"/>
        </w:rPr>
        <w:t>g</w:t>
      </w:r>
      <w:r w:rsidRPr="00F42D9C">
        <w:rPr>
          <w:rFonts w:cs="Arial"/>
        </w:rPr>
        <w:t xml:space="preserve"> )</w:t>
      </w:r>
      <w:proofErr w:type="gramEnd"/>
      <w:r w:rsidR="00F42D9C" w:rsidRPr="00F42D9C">
        <w:rPr>
          <w:rFonts w:cs="Arial"/>
        </w:rPr>
        <w:t xml:space="preserve">  </w:t>
      </w:r>
      <w:r w:rsidR="641470FE" w:rsidRPr="60EA432F">
        <w:rPr>
          <w:rFonts w:cs="Arial"/>
          <w:b/>
          <w:bCs/>
        </w:rPr>
        <w:t>Management fee from leisure operations-</w:t>
      </w:r>
      <w:r w:rsidR="641470FE">
        <w:t xml:space="preserve"> </w:t>
      </w:r>
      <w:r w:rsidR="51CD9F55">
        <w:t xml:space="preserve">additional </w:t>
      </w:r>
      <w:r w:rsidR="6DCDAB3D">
        <w:t>£</w:t>
      </w:r>
      <w:r w:rsidR="614A7F9E">
        <w:t xml:space="preserve">1.3 million </w:t>
      </w:r>
      <w:r w:rsidR="7B20C9F2">
        <w:t xml:space="preserve">income by year 4 of the </w:t>
      </w:r>
      <w:r w:rsidR="614A7F9E">
        <w:t>MTFP</w:t>
      </w:r>
      <w:r w:rsidR="222D26C1">
        <w:t>.</w:t>
      </w:r>
      <w:r w:rsidR="641470FE">
        <w:t xml:space="preserve"> The Council </w:t>
      </w:r>
      <w:r w:rsidR="2491F3DE">
        <w:t xml:space="preserve">agreed a contract with a new </w:t>
      </w:r>
      <w:r w:rsidR="4602468A">
        <w:t>suppler</w:t>
      </w:r>
      <w:r w:rsidR="641470FE">
        <w:t xml:space="preserve"> for the future operation of </w:t>
      </w:r>
      <w:r w:rsidR="7D55DA89">
        <w:t>its</w:t>
      </w:r>
      <w:r w:rsidR="641470FE">
        <w:t xml:space="preserve"> </w:t>
      </w:r>
      <w:r w:rsidR="56036312">
        <w:t xml:space="preserve">leisure </w:t>
      </w:r>
      <w:r w:rsidR="64845B04">
        <w:t>facilities</w:t>
      </w:r>
      <w:r w:rsidR="56036312">
        <w:t xml:space="preserve"> </w:t>
      </w:r>
      <w:r w:rsidR="641470FE">
        <w:t xml:space="preserve">from 1-4-2024. The council receive a management fee from the operator. </w:t>
      </w:r>
    </w:p>
    <w:p w14:paraId="59A7B0AC" w14:textId="07CC602E" w:rsidR="6FEB2AAC" w:rsidRDefault="00A37BBD" w:rsidP="009046B9">
      <w:pPr>
        <w:pStyle w:val="ListParagraph"/>
        <w:numPr>
          <w:ilvl w:val="0"/>
          <w:numId w:val="38"/>
        </w:numPr>
        <w:tabs>
          <w:tab w:val="left" w:pos="1701"/>
        </w:tabs>
        <w:spacing w:after="120"/>
        <w:ind w:right="386"/>
      </w:pPr>
      <w:r w:rsidRPr="60EA432F">
        <w:rPr>
          <w:b/>
          <w:bCs/>
        </w:rPr>
        <w:t>Commercial</w:t>
      </w:r>
      <w:r w:rsidR="6FEB2AAC" w:rsidRPr="60EA432F">
        <w:rPr>
          <w:b/>
          <w:bCs/>
        </w:rPr>
        <w:t xml:space="preserve"> Events Income </w:t>
      </w:r>
      <w:r w:rsidR="6FEB2AAC">
        <w:t xml:space="preserve">- £30k additional income building up to £120k pr annum in future years. </w:t>
      </w:r>
      <w:r w:rsidR="006734EF">
        <w:t>This includes a</w:t>
      </w:r>
      <w:r w:rsidR="6F7B4CE5">
        <w:t>dditional</w:t>
      </w:r>
      <w:r w:rsidR="6FEB2AAC">
        <w:t xml:space="preserve"> income for events </w:t>
      </w:r>
      <w:r w:rsidR="14EFDB22">
        <w:t>in parks</w:t>
      </w:r>
      <w:r w:rsidR="006734EF">
        <w:t xml:space="preserve">, which would be enjoyed by </w:t>
      </w:r>
      <w:proofErr w:type="gramStart"/>
      <w:r w:rsidR="006734EF">
        <w:t>local residents</w:t>
      </w:r>
      <w:proofErr w:type="gramEnd"/>
      <w:r w:rsidR="006734EF">
        <w:t xml:space="preserve"> but also generate a return</w:t>
      </w:r>
      <w:r w:rsidR="14EFDB22">
        <w:t xml:space="preserve">. </w:t>
      </w:r>
    </w:p>
    <w:p w14:paraId="36F8BE20" w14:textId="3EC45532" w:rsidR="00AC3FE0" w:rsidRPr="00B96FC0" w:rsidRDefault="00AC3FE0" w:rsidP="3274C890">
      <w:pPr>
        <w:pStyle w:val="ListParagraph"/>
        <w:tabs>
          <w:tab w:val="left" w:pos="1701"/>
        </w:tabs>
        <w:spacing w:after="120"/>
        <w:ind w:right="386" w:hanging="720"/>
        <w:rPr>
          <w:rFonts w:cs="Arial"/>
          <w:b/>
          <w:highlight w:val="yellow"/>
        </w:rPr>
      </w:pPr>
    </w:p>
    <w:p w14:paraId="4A6CFC2C" w14:textId="161B4704" w:rsidR="00382904" w:rsidRPr="00B96FC0" w:rsidRDefault="00382904" w:rsidP="009046B9">
      <w:pPr>
        <w:pStyle w:val="ListParagraph"/>
        <w:numPr>
          <w:ilvl w:val="0"/>
          <w:numId w:val="43"/>
        </w:numPr>
        <w:spacing w:after="120"/>
        <w:ind w:left="567" w:right="386" w:hanging="425"/>
      </w:pPr>
      <w:r w:rsidRPr="6F9FB908">
        <w:rPr>
          <w:b/>
          <w:bCs/>
        </w:rPr>
        <w:lastRenderedPageBreak/>
        <w:t xml:space="preserve">Fees and Charges </w:t>
      </w:r>
      <w:r>
        <w:t>– Details of specific fees and charges increases in 202</w:t>
      </w:r>
      <w:r w:rsidR="681F32E7">
        <w:t>5</w:t>
      </w:r>
      <w:r>
        <w:t>-2</w:t>
      </w:r>
      <w:r w:rsidR="134D96A3">
        <w:t>6</w:t>
      </w:r>
      <w:r>
        <w:t xml:space="preserve"> are given in Appendix </w:t>
      </w:r>
      <w:r w:rsidR="0075162E">
        <w:t>7</w:t>
      </w:r>
      <w:r>
        <w:t xml:space="preserve"> with summary details below: </w:t>
      </w:r>
    </w:p>
    <w:p w14:paraId="7203D1CF" w14:textId="51BF296E" w:rsidR="000B1D73" w:rsidRPr="00B96FC0" w:rsidRDefault="004A0F74" w:rsidP="009046B9">
      <w:pPr>
        <w:pStyle w:val="ListParagraph"/>
        <w:numPr>
          <w:ilvl w:val="0"/>
          <w:numId w:val="13"/>
        </w:numPr>
        <w:ind w:left="1276" w:right="386" w:hanging="567"/>
      </w:pPr>
      <w:r w:rsidRPr="6E37FCBD">
        <w:rPr>
          <w:b/>
          <w:bCs/>
        </w:rPr>
        <w:t xml:space="preserve">Off </w:t>
      </w:r>
      <w:proofErr w:type="gramStart"/>
      <w:r w:rsidRPr="6E37FCBD">
        <w:rPr>
          <w:b/>
          <w:bCs/>
        </w:rPr>
        <w:t xml:space="preserve">street </w:t>
      </w:r>
      <w:r w:rsidR="004F15B9" w:rsidRPr="6E37FCBD">
        <w:rPr>
          <w:b/>
          <w:bCs/>
        </w:rPr>
        <w:t>Car</w:t>
      </w:r>
      <w:proofErr w:type="gramEnd"/>
      <w:r w:rsidR="004F15B9" w:rsidRPr="6E37FCBD">
        <w:rPr>
          <w:b/>
          <w:bCs/>
        </w:rPr>
        <w:t xml:space="preserve"> Parking</w:t>
      </w:r>
      <w:r w:rsidR="004F15B9">
        <w:t xml:space="preserve"> – </w:t>
      </w:r>
      <w:r w:rsidR="000B1D73">
        <w:t xml:space="preserve"> </w:t>
      </w:r>
    </w:p>
    <w:p w14:paraId="6FC77A71" w14:textId="3155D95A" w:rsidR="000B1D73" w:rsidRPr="00B96FC0" w:rsidRDefault="000B1D73" w:rsidP="009046B9">
      <w:pPr>
        <w:pStyle w:val="ListParagraph"/>
        <w:numPr>
          <w:ilvl w:val="2"/>
          <w:numId w:val="13"/>
        </w:numPr>
        <w:shd w:val="clear" w:color="auto" w:fill="FFFFFF" w:themeFill="background1"/>
        <w:rPr>
          <w:rFonts w:cs="Arial"/>
          <w:color w:val="242424"/>
          <w:sz w:val="23"/>
          <w:szCs w:val="23"/>
          <w:lang w:eastAsia="en-GB"/>
        </w:rPr>
      </w:pPr>
      <w:r w:rsidRPr="6E37FCBD">
        <w:rPr>
          <w:rFonts w:cs="Arial"/>
          <w:color w:val="333333"/>
          <w:bdr w:val="none" w:sz="0" w:space="0" w:color="auto" w:frame="1"/>
          <w:lang w:eastAsia="en-GB"/>
        </w:rPr>
        <w:t xml:space="preserve">City centre goes </w:t>
      </w:r>
      <w:r w:rsidR="439DE189" w:rsidRPr="6E37FCBD">
        <w:rPr>
          <w:rFonts w:cs="Arial"/>
          <w:color w:val="333333"/>
          <w:bdr w:val="none" w:sz="0" w:space="0" w:color="auto" w:frame="1"/>
          <w:lang w:eastAsia="en-GB"/>
        </w:rPr>
        <w:t xml:space="preserve">up by </w:t>
      </w:r>
      <w:r w:rsidR="439DE189" w:rsidRPr="6E37FCBD">
        <w:rPr>
          <w:rFonts w:cs="Arial"/>
          <w:b/>
          <w:bCs/>
          <w:color w:val="333333"/>
          <w:bdr w:val="none" w:sz="0" w:space="0" w:color="auto" w:frame="1"/>
          <w:lang w:eastAsia="en-GB"/>
        </w:rPr>
        <w:t xml:space="preserve">30p </w:t>
      </w:r>
      <w:r w:rsidR="439DE189" w:rsidRPr="6E37FCBD">
        <w:rPr>
          <w:rFonts w:cs="Arial"/>
          <w:color w:val="333333"/>
          <w:bdr w:val="none" w:sz="0" w:space="0" w:color="auto" w:frame="1"/>
          <w:lang w:eastAsia="en-GB"/>
        </w:rPr>
        <w:t xml:space="preserve">on all tariffs </w:t>
      </w:r>
      <w:r w:rsidR="28508329" w:rsidRPr="6E37FCBD">
        <w:rPr>
          <w:rFonts w:cs="Arial"/>
          <w:b/>
          <w:bCs/>
          <w:color w:val="333333"/>
          <w:bdr w:val="none" w:sz="0" w:space="0" w:color="auto" w:frame="1"/>
          <w:lang w:eastAsia="en-GB"/>
        </w:rPr>
        <w:t>£4.40</w:t>
      </w:r>
      <w:r w:rsidR="28508329" w:rsidRPr="6E37FCBD">
        <w:rPr>
          <w:rFonts w:cs="Arial"/>
          <w:color w:val="333333"/>
          <w:bdr w:val="none" w:sz="0" w:space="0" w:color="auto" w:frame="1"/>
          <w:lang w:eastAsia="en-GB"/>
        </w:rPr>
        <w:t xml:space="preserve"> for first </w:t>
      </w:r>
      <w:proofErr w:type="gramStart"/>
      <w:r w:rsidR="28508329" w:rsidRPr="6E37FCBD">
        <w:rPr>
          <w:rFonts w:cs="Arial"/>
          <w:color w:val="333333"/>
          <w:bdr w:val="none" w:sz="0" w:space="0" w:color="auto" w:frame="1"/>
          <w:lang w:eastAsia="en-GB"/>
        </w:rPr>
        <w:t>hour</w:t>
      </w:r>
      <w:proofErr w:type="gramEnd"/>
      <w:r w:rsidR="28508329" w:rsidRPr="6E37FCBD">
        <w:rPr>
          <w:rFonts w:cs="Arial"/>
          <w:color w:val="333333"/>
          <w:bdr w:val="none" w:sz="0" w:space="0" w:color="auto" w:frame="1"/>
          <w:lang w:eastAsia="en-GB"/>
        </w:rPr>
        <w:t xml:space="preserve"> </w:t>
      </w:r>
    </w:p>
    <w:p w14:paraId="0F4C14B8" w14:textId="54D95D34" w:rsidR="000B1D73" w:rsidRPr="00B96FC0" w:rsidRDefault="000B1D73" w:rsidP="009046B9">
      <w:pPr>
        <w:pStyle w:val="ListParagraph"/>
        <w:numPr>
          <w:ilvl w:val="2"/>
          <w:numId w:val="13"/>
        </w:numPr>
        <w:shd w:val="clear" w:color="auto" w:fill="FFFFFF" w:themeFill="background1"/>
        <w:rPr>
          <w:rFonts w:cs="Arial"/>
          <w:color w:val="333333"/>
          <w:lang w:eastAsia="en-GB"/>
        </w:rPr>
      </w:pPr>
      <w:r w:rsidRPr="6E37FCBD">
        <w:rPr>
          <w:rFonts w:cs="Arial"/>
          <w:color w:val="333333"/>
          <w:bdr w:val="none" w:sz="0" w:space="0" w:color="auto" w:frame="1"/>
          <w:lang w:eastAsia="en-GB"/>
        </w:rPr>
        <w:t xml:space="preserve">District centres </w:t>
      </w:r>
      <w:r w:rsidR="6BEED78B" w:rsidRPr="6E37FCBD">
        <w:rPr>
          <w:rFonts w:cs="Arial"/>
          <w:color w:val="333333"/>
          <w:bdr w:val="none" w:sz="0" w:space="0" w:color="auto" w:frame="1"/>
          <w:lang w:eastAsia="en-GB"/>
        </w:rPr>
        <w:t xml:space="preserve">up by </w:t>
      </w:r>
      <w:r w:rsidR="6BEED78B" w:rsidRPr="6E37FCBD">
        <w:rPr>
          <w:rFonts w:cs="Arial"/>
          <w:b/>
          <w:bCs/>
          <w:color w:val="333333"/>
          <w:bdr w:val="none" w:sz="0" w:space="0" w:color="auto" w:frame="1"/>
          <w:lang w:eastAsia="en-GB"/>
        </w:rPr>
        <w:t xml:space="preserve">20p to 30p </w:t>
      </w:r>
      <w:r w:rsidR="6BEED78B" w:rsidRPr="6E37FCBD">
        <w:rPr>
          <w:rFonts w:cs="Arial"/>
          <w:color w:val="333333"/>
          <w:bdr w:val="none" w:sz="0" w:space="0" w:color="auto" w:frame="1"/>
          <w:lang w:eastAsia="en-GB"/>
        </w:rPr>
        <w:t xml:space="preserve">on all tariffs with first hour ranging from </w:t>
      </w:r>
      <w:r w:rsidR="7B62F706" w:rsidRPr="6E37FCBD">
        <w:rPr>
          <w:rFonts w:cs="Arial"/>
          <w:b/>
          <w:bCs/>
          <w:color w:val="333333"/>
          <w:bdr w:val="none" w:sz="0" w:space="0" w:color="auto" w:frame="1"/>
          <w:lang w:eastAsia="en-GB"/>
        </w:rPr>
        <w:t xml:space="preserve">£2.60 to </w:t>
      </w:r>
      <w:proofErr w:type="gramStart"/>
      <w:r w:rsidR="7B62F706" w:rsidRPr="6E37FCBD">
        <w:rPr>
          <w:rFonts w:cs="Arial"/>
          <w:b/>
          <w:bCs/>
          <w:color w:val="333333"/>
          <w:bdr w:val="none" w:sz="0" w:space="0" w:color="auto" w:frame="1"/>
          <w:lang w:eastAsia="en-GB"/>
        </w:rPr>
        <w:t>£2.70</w:t>
      </w:r>
      <w:proofErr w:type="gramEnd"/>
      <w:r w:rsidR="7B62F706" w:rsidRPr="6E37FCBD">
        <w:rPr>
          <w:rFonts w:cs="Arial"/>
          <w:color w:val="333333"/>
          <w:bdr w:val="none" w:sz="0" w:space="0" w:color="auto" w:frame="1"/>
          <w:lang w:eastAsia="en-GB"/>
        </w:rPr>
        <w:t xml:space="preserve"> </w:t>
      </w:r>
    </w:p>
    <w:p w14:paraId="74C39901" w14:textId="37856F6F" w:rsidR="000B1D73" w:rsidRPr="00B96FC0" w:rsidRDefault="000B1D73" w:rsidP="009046B9">
      <w:pPr>
        <w:pStyle w:val="ListParagraph"/>
        <w:numPr>
          <w:ilvl w:val="2"/>
          <w:numId w:val="13"/>
        </w:numPr>
        <w:shd w:val="clear" w:color="auto" w:fill="FFFFFF" w:themeFill="background1"/>
        <w:rPr>
          <w:rFonts w:cs="Arial"/>
          <w:color w:val="242424"/>
          <w:sz w:val="23"/>
          <w:szCs w:val="23"/>
          <w:lang w:eastAsia="en-GB"/>
        </w:rPr>
      </w:pPr>
      <w:r w:rsidRPr="6E37FCBD">
        <w:rPr>
          <w:rFonts w:cs="Arial"/>
          <w:color w:val="333333"/>
          <w:bdr w:val="none" w:sz="0" w:space="0" w:color="auto" w:frame="1"/>
          <w:lang w:eastAsia="en-GB"/>
        </w:rPr>
        <w:t xml:space="preserve">Parks </w:t>
      </w:r>
      <w:r w:rsidR="00F06431" w:rsidRPr="6E37FCBD">
        <w:rPr>
          <w:rFonts w:cs="Arial"/>
          <w:color w:val="333333"/>
          <w:bdr w:val="none" w:sz="0" w:space="0" w:color="auto" w:frame="1"/>
          <w:lang w:eastAsia="en-GB"/>
        </w:rPr>
        <w:t xml:space="preserve">go </w:t>
      </w:r>
      <w:r w:rsidR="18066EEF" w:rsidRPr="6E37FCBD">
        <w:rPr>
          <w:rFonts w:cs="Arial"/>
          <w:color w:val="333333"/>
          <w:bdr w:val="none" w:sz="0" w:space="0" w:color="auto" w:frame="1"/>
          <w:lang w:eastAsia="en-GB"/>
        </w:rPr>
        <w:t xml:space="preserve">up by 20p on all tariffs </w:t>
      </w:r>
      <w:r w:rsidR="00F06431" w:rsidRPr="6E37FCBD">
        <w:rPr>
          <w:rFonts w:cs="Arial"/>
          <w:color w:val="333333"/>
          <w:bdr w:val="none" w:sz="0" w:space="0" w:color="auto" w:frame="1"/>
          <w:lang w:eastAsia="en-GB"/>
        </w:rPr>
        <w:t xml:space="preserve">from </w:t>
      </w:r>
      <w:r w:rsidRPr="6E37FCBD">
        <w:rPr>
          <w:rFonts w:cs="Arial"/>
          <w:b/>
          <w:color w:val="333333"/>
          <w:bdr w:val="none" w:sz="0" w:space="0" w:color="auto" w:frame="1"/>
          <w:lang w:eastAsia="en-GB"/>
        </w:rPr>
        <w:t>90p to £1 </w:t>
      </w:r>
      <w:r w:rsidR="4820B107" w:rsidRPr="6E37FCBD">
        <w:rPr>
          <w:rFonts w:cs="Arial"/>
          <w:b/>
          <w:bCs/>
          <w:color w:val="333333"/>
          <w:bdr w:val="none" w:sz="0" w:space="0" w:color="auto" w:frame="1"/>
          <w:lang w:eastAsia="en-GB"/>
        </w:rPr>
        <w:t xml:space="preserve">.40 </w:t>
      </w:r>
      <w:r w:rsidRPr="6E37FCBD">
        <w:rPr>
          <w:rFonts w:cs="Arial"/>
          <w:color w:val="333333"/>
          <w:bdr w:val="none" w:sz="0" w:space="0" w:color="auto" w:frame="1"/>
          <w:lang w:eastAsia="en-GB"/>
        </w:rPr>
        <w:t xml:space="preserve">for first </w:t>
      </w:r>
      <w:proofErr w:type="gramStart"/>
      <w:r w:rsidRPr="6E37FCBD">
        <w:rPr>
          <w:rFonts w:cs="Arial"/>
          <w:color w:val="333333"/>
          <w:bdr w:val="none" w:sz="0" w:space="0" w:color="auto" w:frame="1"/>
          <w:lang w:eastAsia="en-GB"/>
        </w:rPr>
        <w:t>hour</w:t>
      </w:r>
      <w:proofErr w:type="gramEnd"/>
    </w:p>
    <w:p w14:paraId="3CB1C40F" w14:textId="4692879F" w:rsidR="004A0F74" w:rsidRPr="00B96FC0" w:rsidRDefault="004A0F74" w:rsidP="009046B9">
      <w:pPr>
        <w:pStyle w:val="ListParagraph"/>
        <w:numPr>
          <w:ilvl w:val="0"/>
          <w:numId w:val="13"/>
        </w:numPr>
        <w:ind w:left="1276" w:right="386" w:hanging="567"/>
      </w:pPr>
      <w:r w:rsidRPr="6F9FB908">
        <w:rPr>
          <w:b/>
          <w:bCs/>
        </w:rPr>
        <w:t xml:space="preserve">Park and Ride </w:t>
      </w:r>
      <w:r w:rsidR="00C6749A">
        <w:t xml:space="preserve">– </w:t>
      </w:r>
      <w:r w:rsidR="520C6968">
        <w:t>Nil</w:t>
      </w:r>
      <w:r w:rsidR="00C6749A">
        <w:t xml:space="preserve"> on </w:t>
      </w:r>
      <w:r w:rsidR="3795605C">
        <w:t xml:space="preserve">parking only </w:t>
      </w:r>
      <w:r w:rsidR="00C6749A">
        <w:t xml:space="preserve">tariffs with first hour free. </w:t>
      </w:r>
      <w:r w:rsidR="6F1DAD66" w:rsidRPr="6F9FB908">
        <w:t>Work is underway with the County Council and bus companies to look at the impact on viability of the combined ticket price, taking account of the government's decision to increase the national bus fare cap from £2 to £3. As a result, the P&amp;R combined bus and parking ticket may increase by between £65p and £1. Consideration will also be given to an evening tariff for the combined ticket.</w:t>
      </w:r>
    </w:p>
    <w:p w14:paraId="53BC1416" w14:textId="3A2D6290" w:rsidR="000B1D73" w:rsidRPr="00B96FC0" w:rsidRDefault="000B1D73" w:rsidP="009046B9">
      <w:pPr>
        <w:pStyle w:val="ListParagraph"/>
        <w:numPr>
          <w:ilvl w:val="0"/>
          <w:numId w:val="13"/>
        </w:numPr>
        <w:ind w:left="1276" w:right="386" w:hanging="567"/>
      </w:pPr>
      <w:r w:rsidRPr="6E37FCBD">
        <w:rPr>
          <w:b/>
        </w:rPr>
        <w:t xml:space="preserve">Car parking permits </w:t>
      </w:r>
    </w:p>
    <w:p w14:paraId="7A2B0EE4" w14:textId="6D79C5A1" w:rsidR="00E21443" w:rsidRPr="00B96FC0" w:rsidRDefault="00E21443" w:rsidP="009046B9">
      <w:pPr>
        <w:pStyle w:val="ListParagraph"/>
        <w:numPr>
          <w:ilvl w:val="2"/>
          <w:numId w:val="13"/>
        </w:numPr>
        <w:ind w:right="386"/>
      </w:pPr>
      <w:r>
        <w:t>Outer car parks – annual permits up from £</w:t>
      </w:r>
      <w:r w:rsidR="4FA1AF6F">
        <w:t>100</w:t>
      </w:r>
      <w:r>
        <w:t xml:space="preserve"> to £10</w:t>
      </w:r>
      <w:r w:rsidR="0926B9EB">
        <w:t>5</w:t>
      </w:r>
      <w:r w:rsidR="00646694">
        <w:t xml:space="preserve"> alongside other changes</w:t>
      </w:r>
    </w:p>
    <w:p w14:paraId="6E58BF4D" w14:textId="1A8D8F2C" w:rsidR="00E21443" w:rsidRPr="00B96FC0" w:rsidRDefault="00E21443" w:rsidP="009046B9">
      <w:pPr>
        <w:pStyle w:val="ListParagraph"/>
        <w:numPr>
          <w:ilvl w:val="2"/>
          <w:numId w:val="13"/>
        </w:numPr>
        <w:ind w:right="386"/>
      </w:pPr>
      <w:r>
        <w:t>Park and rides – annual permit up from £3</w:t>
      </w:r>
      <w:r w:rsidR="05A37631">
        <w:t>7</w:t>
      </w:r>
      <w:r>
        <w:t>0 to £3</w:t>
      </w:r>
      <w:r w:rsidR="376FC61B">
        <w:t>8</w:t>
      </w:r>
      <w:r>
        <w:t>0</w:t>
      </w:r>
      <w:r w:rsidR="00646694">
        <w:t xml:space="preserve"> alongside other changes</w:t>
      </w:r>
    </w:p>
    <w:p w14:paraId="0ABB499F" w14:textId="625E3F55" w:rsidR="00083889" w:rsidRPr="00B96FC0" w:rsidRDefault="00382904" w:rsidP="009046B9">
      <w:pPr>
        <w:pStyle w:val="ListParagraph"/>
        <w:numPr>
          <w:ilvl w:val="0"/>
          <w:numId w:val="13"/>
        </w:numPr>
        <w:ind w:left="1276" w:right="386" w:hanging="567"/>
      </w:pPr>
      <w:r w:rsidRPr="6E37FCBD">
        <w:rPr>
          <w:b/>
        </w:rPr>
        <w:t>Garden waste bins -</w:t>
      </w:r>
      <w:r>
        <w:t xml:space="preserve"> </w:t>
      </w:r>
      <w:r w:rsidR="00CE08C8">
        <w:t>£</w:t>
      </w:r>
      <w:r w:rsidR="67AB4C32">
        <w:t>8</w:t>
      </w:r>
      <w:r w:rsidR="009D0935">
        <w:t>5</w:t>
      </w:r>
      <w:r w:rsidR="00CE08C8">
        <w:t xml:space="preserve"> </w:t>
      </w:r>
      <w:r w:rsidR="009138D5">
        <w:t xml:space="preserve">increased to </w:t>
      </w:r>
      <w:r w:rsidR="006A4A8D">
        <w:t>£</w:t>
      </w:r>
      <w:r w:rsidR="7D7987A6">
        <w:t>90</w:t>
      </w:r>
      <w:r w:rsidR="006A4A8D">
        <w:t xml:space="preserve"> </w:t>
      </w:r>
      <w:r w:rsidR="009138D5">
        <w:t>(</w:t>
      </w:r>
      <w:r w:rsidR="06801B56">
        <w:t>5.88</w:t>
      </w:r>
      <w:r w:rsidR="009138D5">
        <w:t xml:space="preserve">% increase) with </w:t>
      </w:r>
      <w:r w:rsidR="009D0935">
        <w:t>an</w:t>
      </w:r>
      <w:r w:rsidR="00461563">
        <w:t xml:space="preserve"> increase in the </w:t>
      </w:r>
      <w:r w:rsidR="009138D5">
        <w:t xml:space="preserve">concessionary rate </w:t>
      </w:r>
      <w:r w:rsidR="75B166D0">
        <w:t>from £</w:t>
      </w:r>
      <w:r w:rsidR="48AF153F">
        <w:t>50</w:t>
      </w:r>
      <w:r w:rsidR="009138D5">
        <w:t xml:space="preserve"> </w:t>
      </w:r>
      <w:r w:rsidR="009D0935">
        <w:t>to £5</w:t>
      </w:r>
      <w:r w:rsidR="67519731">
        <w:t>3</w:t>
      </w:r>
      <w:r w:rsidR="009D0935">
        <w:t xml:space="preserve"> </w:t>
      </w:r>
      <w:r w:rsidR="0044500D">
        <w:t>i.e.</w:t>
      </w:r>
      <w:r w:rsidR="009D0935">
        <w:t xml:space="preserve"> </w:t>
      </w:r>
      <w:proofErr w:type="gramStart"/>
      <w:r w:rsidR="009D0935">
        <w:t>6.0</w:t>
      </w:r>
      <w:r w:rsidR="2AFEA5C5">
        <w:t>0</w:t>
      </w:r>
      <w:r w:rsidR="009D0935">
        <w:t>%</w:t>
      </w:r>
      <w:proofErr w:type="gramEnd"/>
      <w:r w:rsidR="00384F34">
        <w:t xml:space="preserve"> </w:t>
      </w:r>
    </w:p>
    <w:p w14:paraId="41BCC6DC" w14:textId="7F4C06B3" w:rsidR="00B04B90" w:rsidRPr="00B96FC0" w:rsidRDefault="00B04B90" w:rsidP="009046B9">
      <w:pPr>
        <w:pStyle w:val="ListParagraph"/>
        <w:numPr>
          <w:ilvl w:val="0"/>
          <w:numId w:val="13"/>
        </w:numPr>
        <w:ind w:left="1276" w:right="386" w:hanging="567"/>
      </w:pPr>
      <w:r w:rsidRPr="6E37FCBD">
        <w:rPr>
          <w:b/>
        </w:rPr>
        <w:t xml:space="preserve">Replacement bins – </w:t>
      </w:r>
      <w:r>
        <w:t>for the replacement of two wheeled blue, g</w:t>
      </w:r>
      <w:r w:rsidR="009D0935">
        <w:t>reen and brown bins - £3</w:t>
      </w:r>
      <w:r w:rsidR="7D19E11E">
        <w:t>5</w:t>
      </w:r>
      <w:r w:rsidR="009D0935">
        <w:t xml:space="preserve"> increasing to £3</w:t>
      </w:r>
      <w:r w:rsidR="6CCD7631">
        <w:t>6.50</w:t>
      </w:r>
      <w:r w:rsidR="009D0935">
        <w:t xml:space="preserve"> </w:t>
      </w:r>
      <w:r w:rsidR="0044500D">
        <w:t>i.e.</w:t>
      </w:r>
      <w:r w:rsidR="009D0935">
        <w:t xml:space="preserve"> </w:t>
      </w:r>
      <w:r w:rsidR="7A8E9337">
        <w:t>4.29%</w:t>
      </w:r>
      <w:r w:rsidR="009D0935">
        <w:t xml:space="preserve">% </w:t>
      </w:r>
      <w:proofErr w:type="gramStart"/>
      <w:r w:rsidR="009D0935">
        <w:t>increase</w:t>
      </w:r>
      <w:proofErr w:type="gramEnd"/>
      <w:r w:rsidR="009D0935">
        <w:t xml:space="preserve"> </w:t>
      </w:r>
    </w:p>
    <w:p w14:paraId="4E0407E4" w14:textId="2DE23946" w:rsidR="00384F34" w:rsidRPr="00B96FC0" w:rsidRDefault="46FFF370" w:rsidP="009046B9">
      <w:pPr>
        <w:pStyle w:val="ListParagraph"/>
        <w:numPr>
          <w:ilvl w:val="0"/>
          <w:numId w:val="13"/>
        </w:numPr>
        <w:ind w:left="1276" w:right="386" w:hanging="567"/>
      </w:pPr>
      <w:r w:rsidRPr="60EA432F">
        <w:rPr>
          <w:b/>
          <w:bCs/>
        </w:rPr>
        <w:t>B</w:t>
      </w:r>
      <w:r w:rsidR="04468354" w:rsidRPr="60EA432F">
        <w:rPr>
          <w:b/>
          <w:bCs/>
        </w:rPr>
        <w:t xml:space="preserve">ulky </w:t>
      </w:r>
      <w:r w:rsidRPr="60EA432F">
        <w:rPr>
          <w:b/>
          <w:bCs/>
        </w:rPr>
        <w:t>W</w:t>
      </w:r>
      <w:r w:rsidR="04468354" w:rsidRPr="60EA432F">
        <w:rPr>
          <w:b/>
          <w:bCs/>
        </w:rPr>
        <w:t>aste</w:t>
      </w:r>
      <w:r w:rsidRPr="60EA432F">
        <w:rPr>
          <w:b/>
          <w:bCs/>
        </w:rPr>
        <w:t xml:space="preserve"> collection</w:t>
      </w:r>
      <w:r w:rsidR="04468354" w:rsidRPr="60EA432F">
        <w:rPr>
          <w:b/>
          <w:bCs/>
        </w:rPr>
        <w:t>:</w:t>
      </w:r>
      <w:r w:rsidR="04468354">
        <w:t xml:space="preserve"> </w:t>
      </w:r>
      <w:r w:rsidR="33D92FCE">
        <w:t xml:space="preserve"> </w:t>
      </w:r>
      <w:r w:rsidR="5A40B343">
        <w:t>C</w:t>
      </w:r>
      <w:r w:rsidR="0020C25F">
        <w:t xml:space="preserve">urrent charge of </w:t>
      </w:r>
      <w:r>
        <w:t>£2</w:t>
      </w:r>
      <w:r w:rsidR="573CCBE0">
        <w:t>2</w:t>
      </w:r>
      <w:r>
        <w:t xml:space="preserve"> per item </w:t>
      </w:r>
      <w:r w:rsidR="5A40B343">
        <w:t>increasing to £2</w:t>
      </w:r>
      <w:r w:rsidR="685C15C0">
        <w:t>3.50</w:t>
      </w:r>
      <w:r w:rsidR="5A40B343">
        <w:t xml:space="preserve"> (</w:t>
      </w:r>
      <w:r w:rsidR="2BC39627">
        <w:t>6.82</w:t>
      </w:r>
      <w:r w:rsidR="5A40B343">
        <w:t xml:space="preserve">%) </w:t>
      </w:r>
      <w:r w:rsidR="33D92FCE">
        <w:t xml:space="preserve">and </w:t>
      </w:r>
      <w:r w:rsidR="5A40B343">
        <w:t xml:space="preserve">from </w:t>
      </w:r>
      <w:r>
        <w:t>£3</w:t>
      </w:r>
      <w:r w:rsidR="089A4EA9">
        <w:t>3</w:t>
      </w:r>
      <w:r>
        <w:t xml:space="preserve"> </w:t>
      </w:r>
      <w:r w:rsidR="5A40B343">
        <w:t>to £3</w:t>
      </w:r>
      <w:r w:rsidR="6BFFB0A4">
        <w:t>4.10</w:t>
      </w:r>
      <w:r w:rsidR="5A40B343">
        <w:t xml:space="preserve"> (</w:t>
      </w:r>
      <w:r w:rsidR="0CCC1374">
        <w:t>4.55</w:t>
      </w:r>
      <w:r w:rsidR="5A40B343">
        <w:t xml:space="preserve">%) </w:t>
      </w:r>
      <w:r>
        <w:t>for larger items</w:t>
      </w:r>
      <w:r w:rsidR="6B66AFD9">
        <w:t>, e.g.</w:t>
      </w:r>
      <w:r>
        <w:t xml:space="preserve"> refrigerators</w:t>
      </w:r>
      <w:r w:rsidR="6B66AFD9">
        <w:t>,</w:t>
      </w:r>
      <w:r>
        <w:t xml:space="preserve"> washing machines </w:t>
      </w:r>
      <w:r w:rsidR="7E7F6280">
        <w:t>etc.</w:t>
      </w:r>
      <w:r w:rsidR="33D92FCE">
        <w:t xml:space="preserve"> with </w:t>
      </w:r>
      <w:r w:rsidR="04468354">
        <w:t>concessions</w:t>
      </w:r>
      <w:r w:rsidR="5A40B343">
        <w:t xml:space="preserve"> remaining unchanged</w:t>
      </w:r>
      <w:r w:rsidR="117E4844">
        <w:t>. 50% concessionary rates</w:t>
      </w:r>
      <w:r w:rsidR="3BF3811A">
        <w:t>.</w:t>
      </w:r>
    </w:p>
    <w:p w14:paraId="6A9A341C" w14:textId="0F942503" w:rsidR="007E7FA6" w:rsidRPr="00B96FC0" w:rsidRDefault="3C95B7EF" w:rsidP="009046B9">
      <w:pPr>
        <w:pStyle w:val="ListParagraph"/>
        <w:numPr>
          <w:ilvl w:val="0"/>
          <w:numId w:val="13"/>
        </w:numPr>
        <w:ind w:left="1276" w:right="386" w:hanging="567"/>
      </w:pPr>
      <w:r w:rsidRPr="60EA432F">
        <w:rPr>
          <w:b/>
          <w:bCs/>
        </w:rPr>
        <w:t>Land charges</w:t>
      </w:r>
      <w:r w:rsidR="1E8B16CF">
        <w:t xml:space="preserve"> – </w:t>
      </w:r>
      <w:r w:rsidR="404B866F">
        <w:t>£59.90 to £65.75 - 9.78</w:t>
      </w:r>
      <w:r>
        <w:t xml:space="preserve">% </w:t>
      </w:r>
      <w:proofErr w:type="gramStart"/>
      <w:r>
        <w:t>increase</w:t>
      </w:r>
      <w:proofErr w:type="gramEnd"/>
      <w:r>
        <w:t xml:space="preserve"> </w:t>
      </w:r>
    </w:p>
    <w:p w14:paraId="42FB97CB" w14:textId="06AEDD76" w:rsidR="009D0935" w:rsidRPr="00B96FC0" w:rsidRDefault="5A40B343" w:rsidP="009046B9">
      <w:pPr>
        <w:pStyle w:val="ListParagraph"/>
        <w:numPr>
          <w:ilvl w:val="0"/>
          <w:numId w:val="13"/>
        </w:numPr>
        <w:ind w:left="1276" w:right="386" w:hanging="567"/>
      </w:pPr>
      <w:r w:rsidRPr="60EA432F">
        <w:rPr>
          <w:b/>
          <w:bCs/>
        </w:rPr>
        <w:t>Planning fees</w:t>
      </w:r>
      <w:r w:rsidR="7001CB7F" w:rsidRPr="60EA432F">
        <w:rPr>
          <w:b/>
          <w:bCs/>
        </w:rPr>
        <w:t xml:space="preserve"> – </w:t>
      </w:r>
      <w:r w:rsidR="45A11CEA">
        <w:t xml:space="preserve">Planning fees </w:t>
      </w:r>
      <w:r w:rsidR="7810EE14">
        <w:t xml:space="preserve">were last increased by the Government in December </w:t>
      </w:r>
      <w:proofErr w:type="gramStart"/>
      <w:r w:rsidR="7810EE14">
        <w:t>2023</w:t>
      </w:r>
      <w:proofErr w:type="gramEnd"/>
      <w:r w:rsidR="7810EE14">
        <w:t xml:space="preserve"> and these have been included in Appendix 7 </w:t>
      </w:r>
    </w:p>
    <w:p w14:paraId="782F8834" w14:textId="1B014BEE" w:rsidR="009D0935" w:rsidRPr="00B96FC0" w:rsidRDefault="009D0935" w:rsidP="009046B9">
      <w:pPr>
        <w:pStyle w:val="ListParagraph"/>
        <w:numPr>
          <w:ilvl w:val="0"/>
          <w:numId w:val="13"/>
        </w:numPr>
        <w:ind w:left="1276" w:right="386" w:hanging="567"/>
      </w:pPr>
      <w:r w:rsidRPr="6E37FCBD">
        <w:rPr>
          <w:b/>
        </w:rPr>
        <w:t>Building control –</w:t>
      </w:r>
      <w:r>
        <w:t xml:space="preserve"> Increases ranging from </w:t>
      </w:r>
      <w:r w:rsidR="6B191259">
        <w:t>40</w:t>
      </w:r>
      <w:r>
        <w:t>-5</w:t>
      </w:r>
      <w:r w:rsidR="44427437">
        <w:t>0</w:t>
      </w:r>
      <w:r>
        <w:t>%</w:t>
      </w:r>
      <w:r w:rsidR="006734EF">
        <w:t xml:space="preserve"> in line with costs and market factors</w:t>
      </w:r>
    </w:p>
    <w:p w14:paraId="40E18146" w14:textId="08791905" w:rsidR="009D0935" w:rsidRPr="00B96FC0" w:rsidRDefault="009D0935" w:rsidP="009046B9">
      <w:pPr>
        <w:pStyle w:val="ListParagraph"/>
        <w:numPr>
          <w:ilvl w:val="0"/>
          <w:numId w:val="13"/>
        </w:numPr>
        <w:ind w:left="1276" w:right="386" w:hanging="567"/>
      </w:pPr>
      <w:r w:rsidRPr="6E37FCBD">
        <w:rPr>
          <w:b/>
        </w:rPr>
        <w:t>General Licenses –</w:t>
      </w:r>
      <w:r>
        <w:t xml:space="preserve"> increases of up to </w:t>
      </w:r>
      <w:proofErr w:type="gramStart"/>
      <w:r w:rsidR="6CF87704">
        <w:t>10</w:t>
      </w:r>
      <w:r>
        <w:t>%</w:t>
      </w:r>
      <w:proofErr w:type="gramEnd"/>
    </w:p>
    <w:p w14:paraId="0F72C7B6" w14:textId="40F40375" w:rsidR="4F365DD4" w:rsidRDefault="4F365DD4" w:rsidP="009046B9">
      <w:pPr>
        <w:pStyle w:val="ListParagraph"/>
        <w:numPr>
          <w:ilvl w:val="0"/>
          <w:numId w:val="13"/>
        </w:numPr>
        <w:ind w:left="1276" w:right="386" w:hanging="567"/>
      </w:pPr>
      <w:r w:rsidRPr="0F56E864">
        <w:rPr>
          <w:b/>
          <w:bCs/>
        </w:rPr>
        <w:t>Leisure</w:t>
      </w:r>
      <w:r w:rsidR="6E3C94F7" w:rsidRPr="0F56E864">
        <w:rPr>
          <w:b/>
          <w:bCs/>
        </w:rPr>
        <w:t xml:space="preserve"> </w:t>
      </w:r>
      <w:r w:rsidR="6E3C94F7">
        <w:t>– increases of between 5-7%</w:t>
      </w:r>
      <w:r w:rsidR="006734EF">
        <w:t xml:space="preserve"> reflecting running </w:t>
      </w:r>
      <w:proofErr w:type="gramStart"/>
      <w:r w:rsidR="006734EF">
        <w:t>costs</w:t>
      </w:r>
      <w:proofErr w:type="gramEnd"/>
    </w:p>
    <w:p w14:paraId="3A0B8742" w14:textId="1587C6AA" w:rsidR="00F76BF5" w:rsidRDefault="00F76BF5" w:rsidP="009046B9">
      <w:pPr>
        <w:pStyle w:val="ListParagraph"/>
        <w:numPr>
          <w:ilvl w:val="0"/>
          <w:numId w:val="13"/>
        </w:numPr>
        <w:ind w:left="1276" w:right="386" w:hanging="567"/>
      </w:pPr>
      <w:r>
        <w:rPr>
          <w:b/>
          <w:bCs/>
        </w:rPr>
        <w:t>Pitch fees</w:t>
      </w:r>
      <w:r>
        <w:t>: It is proposed to freeze pitch hire fees for this year, to support local sports clubs and as a reflection of their increased running costs.</w:t>
      </w:r>
    </w:p>
    <w:p w14:paraId="2E52091F" w14:textId="77777777" w:rsidR="000C178A" w:rsidRPr="00B96FC0" w:rsidRDefault="000C178A" w:rsidP="009138D5">
      <w:pPr>
        <w:pStyle w:val="ListParagraph"/>
        <w:ind w:left="1276" w:right="386"/>
        <w:rPr>
          <w:highlight w:val="yellow"/>
        </w:rPr>
      </w:pPr>
    </w:p>
    <w:p w14:paraId="0E1196D6" w14:textId="77777777" w:rsidR="00E60DBF" w:rsidRPr="00B96FC0" w:rsidRDefault="00E60DBF" w:rsidP="007E7FA6">
      <w:pPr>
        <w:ind w:left="1276" w:right="386" w:hanging="567"/>
        <w:rPr>
          <w:highlight w:val="yellow"/>
        </w:rPr>
      </w:pPr>
    </w:p>
    <w:p w14:paraId="61FED3F1" w14:textId="77777777" w:rsidR="000C03E1" w:rsidRPr="00B96FC0" w:rsidRDefault="000C03E1" w:rsidP="007E7FA6">
      <w:pPr>
        <w:ind w:left="1276" w:right="386" w:hanging="567"/>
        <w:rPr>
          <w:b/>
        </w:rPr>
      </w:pPr>
      <w:r w:rsidRPr="0F56E864">
        <w:rPr>
          <w:b/>
        </w:rPr>
        <w:t>Other</w:t>
      </w:r>
    </w:p>
    <w:p w14:paraId="54A982B7" w14:textId="56C2E0F2" w:rsidR="3E416B05" w:rsidRDefault="6DCC094C" w:rsidP="009046B9">
      <w:pPr>
        <w:numPr>
          <w:ilvl w:val="0"/>
          <w:numId w:val="13"/>
        </w:numPr>
        <w:ind w:left="1276" w:right="386" w:hanging="567"/>
      </w:pPr>
      <w:r w:rsidRPr="60EA432F">
        <w:rPr>
          <w:b/>
          <w:bCs/>
        </w:rPr>
        <w:t>Cemeteries</w:t>
      </w:r>
      <w:r>
        <w:t xml:space="preserve">- exclusive rights of burial </w:t>
      </w:r>
      <w:r w:rsidR="21C78A07">
        <w:t>for 50 years</w:t>
      </w:r>
      <w:r>
        <w:t xml:space="preserve">- </w:t>
      </w:r>
      <w:r w:rsidR="1624B219">
        <w:t>£</w:t>
      </w:r>
      <w:r w:rsidR="0A26A45A">
        <w:t>818</w:t>
      </w:r>
      <w:r w:rsidR="1624B219">
        <w:t xml:space="preserve"> </w:t>
      </w:r>
      <w:r w:rsidR="125AA89E">
        <w:t xml:space="preserve">increase per annum </w:t>
      </w:r>
      <w:r w:rsidR="1624B219">
        <w:t>(</w:t>
      </w:r>
      <w:r w:rsidR="2D825621">
        <w:t>80</w:t>
      </w:r>
      <w:r w:rsidR="1624B219">
        <w:t>%)</w:t>
      </w:r>
      <w:r w:rsidR="75D077AF">
        <w:t xml:space="preserve"> </w:t>
      </w:r>
      <w:r w:rsidR="22A9684E">
        <w:t xml:space="preserve">exclusive right of burial for 25 years £25 </w:t>
      </w:r>
      <w:r w:rsidR="7D44D369">
        <w:t xml:space="preserve">increase </w:t>
      </w:r>
      <w:r w:rsidR="008009B9">
        <w:t>per</w:t>
      </w:r>
      <w:r w:rsidR="7D44D369">
        <w:t xml:space="preserve"> annum </w:t>
      </w:r>
      <w:r w:rsidR="22A9684E">
        <w:t>(5%)</w:t>
      </w:r>
    </w:p>
    <w:p w14:paraId="45359CC7" w14:textId="4262A028" w:rsidR="00382904" w:rsidRPr="00B96FC0" w:rsidRDefault="00382904" w:rsidP="009046B9">
      <w:pPr>
        <w:numPr>
          <w:ilvl w:val="0"/>
          <w:numId w:val="13"/>
        </w:numPr>
        <w:ind w:left="1276" w:right="386" w:hanging="567"/>
      </w:pPr>
      <w:r w:rsidRPr="0F56E864">
        <w:rPr>
          <w:b/>
        </w:rPr>
        <w:t>Pest Control</w:t>
      </w:r>
      <w:r w:rsidR="00C02611" w:rsidRPr="0F56E864">
        <w:rPr>
          <w:b/>
        </w:rPr>
        <w:t xml:space="preserve"> </w:t>
      </w:r>
      <w:r w:rsidR="00C02611">
        <w:t xml:space="preserve">– </w:t>
      </w:r>
      <w:r w:rsidR="00374640">
        <w:t xml:space="preserve">rates, mice </w:t>
      </w:r>
      <w:r w:rsidR="0044500D">
        <w:t>etc.</w:t>
      </w:r>
      <w:r w:rsidR="00374640">
        <w:t xml:space="preserve"> </w:t>
      </w:r>
      <w:r>
        <w:t xml:space="preserve"> – </w:t>
      </w:r>
      <w:r w:rsidR="14CA93A1">
        <w:t>10% or cost of time taken</w:t>
      </w:r>
    </w:p>
    <w:p w14:paraId="25DF8C1D" w14:textId="08F264F0" w:rsidR="00374640" w:rsidRPr="00B96FC0" w:rsidRDefault="5D51AA0B" w:rsidP="009046B9">
      <w:pPr>
        <w:numPr>
          <w:ilvl w:val="0"/>
          <w:numId w:val="13"/>
        </w:numPr>
        <w:ind w:left="1276" w:right="386" w:hanging="567"/>
      </w:pPr>
      <w:r w:rsidRPr="60EA432F">
        <w:rPr>
          <w:b/>
          <w:bCs/>
        </w:rPr>
        <w:t>Dog warden collection</w:t>
      </w:r>
      <w:r>
        <w:t xml:space="preserve"> - £1</w:t>
      </w:r>
      <w:r w:rsidR="0F557687">
        <w:t>6.35</w:t>
      </w:r>
      <w:r>
        <w:t xml:space="preserve"> </w:t>
      </w:r>
      <w:r w:rsidR="432A5976">
        <w:t xml:space="preserve">per annum </w:t>
      </w:r>
      <w:r>
        <w:t>– (</w:t>
      </w:r>
      <w:proofErr w:type="gramStart"/>
      <w:r>
        <w:t>10.%</w:t>
      </w:r>
      <w:proofErr w:type="gramEnd"/>
      <w:r>
        <w:t>)</w:t>
      </w:r>
    </w:p>
    <w:p w14:paraId="34CC5CB4" w14:textId="360E9651" w:rsidR="00646F89" w:rsidRPr="00B96FC0" w:rsidRDefault="1624B219" w:rsidP="009046B9">
      <w:pPr>
        <w:numPr>
          <w:ilvl w:val="0"/>
          <w:numId w:val="13"/>
        </w:numPr>
        <w:ind w:left="1276" w:right="386" w:hanging="567"/>
      </w:pPr>
      <w:r w:rsidRPr="60EA432F">
        <w:rPr>
          <w:b/>
          <w:bCs/>
        </w:rPr>
        <w:t xml:space="preserve">Taxi Licenses </w:t>
      </w:r>
      <w:r>
        <w:t xml:space="preserve">- </w:t>
      </w:r>
      <w:r w:rsidR="2B0A5AEA">
        <w:t xml:space="preserve">£18.40 per </w:t>
      </w:r>
      <w:proofErr w:type="gramStart"/>
      <w:r w:rsidR="2B0A5AEA">
        <w:t>annum  for</w:t>
      </w:r>
      <w:proofErr w:type="gramEnd"/>
      <w:r w:rsidR="2B0A5AEA">
        <w:t xml:space="preserve"> hackney carriage </w:t>
      </w:r>
      <w:r>
        <w:t>(</w:t>
      </w:r>
      <w:r w:rsidR="0502A779">
        <w:t>4</w:t>
      </w:r>
      <w:r>
        <w:t xml:space="preserve">% - </w:t>
      </w:r>
      <w:r w:rsidR="2DA4B9A4">
        <w:t>5</w:t>
      </w:r>
      <w:r>
        <w:t>%)</w:t>
      </w:r>
    </w:p>
    <w:p w14:paraId="4C3141F7" w14:textId="33BE47F5" w:rsidR="00382904" w:rsidRDefault="2DF77102" w:rsidP="009046B9">
      <w:pPr>
        <w:numPr>
          <w:ilvl w:val="0"/>
          <w:numId w:val="13"/>
        </w:numPr>
        <w:ind w:left="1276" w:right="386" w:hanging="567"/>
      </w:pPr>
      <w:r w:rsidRPr="60EA432F">
        <w:rPr>
          <w:b/>
          <w:bCs/>
        </w:rPr>
        <w:t>Garages</w:t>
      </w:r>
      <w:r>
        <w:t xml:space="preserve"> </w:t>
      </w:r>
      <w:r w:rsidR="5A40B343">
        <w:t>-</w:t>
      </w:r>
      <w:r>
        <w:t xml:space="preserve"> </w:t>
      </w:r>
      <w:r w:rsidR="512073C0">
        <w:t>£</w:t>
      </w:r>
      <w:r w:rsidR="61BFFAAC">
        <w:t>0.78</w:t>
      </w:r>
      <w:r w:rsidR="512073C0">
        <w:t xml:space="preserve"> </w:t>
      </w:r>
      <w:r w:rsidR="2902AD4B">
        <w:t xml:space="preserve">per week </w:t>
      </w:r>
      <w:r w:rsidR="512073C0">
        <w:t xml:space="preserve">– </w:t>
      </w:r>
      <w:r w:rsidR="3F7A85E5">
        <w:t>4</w:t>
      </w:r>
      <w:r w:rsidR="512073C0">
        <w:t>%</w:t>
      </w:r>
    </w:p>
    <w:p w14:paraId="76E4DBD5" w14:textId="77777777" w:rsidR="00F42D9C" w:rsidRPr="00B96FC0" w:rsidRDefault="00F42D9C" w:rsidP="00F42D9C">
      <w:pPr>
        <w:ind w:left="1276" w:right="386"/>
      </w:pPr>
    </w:p>
    <w:p w14:paraId="6E7B7D9B" w14:textId="77777777" w:rsidR="007460FC" w:rsidRPr="00B96FC0" w:rsidRDefault="007460FC" w:rsidP="00844457">
      <w:pPr>
        <w:pStyle w:val="ListParagraph"/>
        <w:rPr>
          <w:rFonts w:cs="Arial"/>
          <w:highlight w:val="yellow"/>
        </w:rPr>
      </w:pPr>
    </w:p>
    <w:p w14:paraId="50605D9F" w14:textId="388EFB12" w:rsidR="7CDB4291" w:rsidRDefault="7CDB4291" w:rsidP="64688DE5">
      <w:pPr>
        <w:pStyle w:val="ListParagraph"/>
        <w:tabs>
          <w:tab w:val="left" w:pos="540"/>
        </w:tabs>
        <w:ind w:left="0" w:right="386"/>
        <w:rPr>
          <w:rFonts w:cs="Arial"/>
          <w:b/>
        </w:rPr>
      </w:pPr>
      <w:r w:rsidRPr="1EDB5DC6">
        <w:rPr>
          <w:rFonts w:cs="Arial"/>
          <w:b/>
        </w:rPr>
        <w:t>Expenditure Pressures</w:t>
      </w:r>
    </w:p>
    <w:p w14:paraId="2698B79C" w14:textId="17FF8485" w:rsidR="64688DE5" w:rsidRDefault="64688DE5" w:rsidP="64688DE5">
      <w:pPr>
        <w:pStyle w:val="ListParagraph"/>
        <w:tabs>
          <w:tab w:val="left" w:pos="540"/>
        </w:tabs>
        <w:ind w:left="0" w:right="386"/>
        <w:rPr>
          <w:rFonts w:cs="Arial"/>
          <w:b/>
          <w:bCs/>
          <w:highlight w:val="yellow"/>
        </w:rPr>
      </w:pPr>
    </w:p>
    <w:p w14:paraId="199E96D9" w14:textId="791ACB2D" w:rsidR="7CDB4291" w:rsidRDefault="7CDB4291" w:rsidP="009046B9">
      <w:pPr>
        <w:pStyle w:val="ListParagraph"/>
        <w:numPr>
          <w:ilvl w:val="0"/>
          <w:numId w:val="44"/>
        </w:numPr>
        <w:tabs>
          <w:tab w:val="left" w:pos="540"/>
        </w:tabs>
        <w:ind w:left="426" w:right="386" w:hanging="426"/>
        <w:rPr>
          <w:rFonts w:cs="Arial"/>
          <w:b/>
          <w:bCs/>
        </w:rPr>
      </w:pPr>
      <w:r w:rsidRPr="6F9FB908">
        <w:rPr>
          <w:rFonts w:cs="Arial"/>
        </w:rPr>
        <w:t xml:space="preserve">Excluding </w:t>
      </w:r>
      <w:r w:rsidR="5F609E97" w:rsidRPr="6F9FB908">
        <w:rPr>
          <w:rFonts w:cs="Arial"/>
        </w:rPr>
        <w:t xml:space="preserve">pay increases there are other service pressures which are </w:t>
      </w:r>
      <w:r w:rsidR="3E02C105" w:rsidRPr="6F9FB908">
        <w:rPr>
          <w:rFonts w:cs="Arial"/>
        </w:rPr>
        <w:t>impacting</w:t>
      </w:r>
      <w:r w:rsidR="06A7005E" w:rsidRPr="6F9FB908">
        <w:rPr>
          <w:rFonts w:cs="Arial"/>
        </w:rPr>
        <w:t xml:space="preserve"> </w:t>
      </w:r>
      <w:r w:rsidR="5F609E97" w:rsidRPr="6F9FB908">
        <w:rPr>
          <w:rFonts w:cs="Arial"/>
        </w:rPr>
        <w:t>the council</w:t>
      </w:r>
      <w:r w:rsidR="06A7005E" w:rsidRPr="6F9FB908">
        <w:rPr>
          <w:rFonts w:cs="Arial"/>
        </w:rPr>
        <w:t xml:space="preserve"> the most significant of which </w:t>
      </w:r>
      <w:proofErr w:type="gramStart"/>
      <w:r w:rsidR="06A7005E" w:rsidRPr="6F9FB908">
        <w:rPr>
          <w:rFonts w:cs="Arial"/>
        </w:rPr>
        <w:t>include :</w:t>
      </w:r>
      <w:proofErr w:type="gramEnd"/>
    </w:p>
    <w:p w14:paraId="3B104E9B" w14:textId="08788E88" w:rsidR="64688DE5" w:rsidRDefault="64688DE5" w:rsidP="64688DE5">
      <w:pPr>
        <w:pStyle w:val="ListParagraph"/>
        <w:tabs>
          <w:tab w:val="left" w:pos="540"/>
        </w:tabs>
        <w:ind w:left="0" w:right="386"/>
        <w:rPr>
          <w:rFonts w:cs="Arial"/>
          <w:b/>
          <w:bCs/>
          <w:highlight w:val="yellow"/>
        </w:rPr>
      </w:pPr>
    </w:p>
    <w:p w14:paraId="0EA12B80" w14:textId="3A09900A" w:rsidR="64688DE5" w:rsidRDefault="46BEC084" w:rsidP="009046B9">
      <w:pPr>
        <w:pStyle w:val="ListParagraph"/>
        <w:numPr>
          <w:ilvl w:val="0"/>
          <w:numId w:val="14"/>
        </w:numPr>
        <w:shd w:val="clear" w:color="auto" w:fill="FFFFFF" w:themeFill="background1"/>
      </w:pPr>
      <w:r w:rsidRPr="6F9FB908">
        <w:rPr>
          <w:rFonts w:cs="Arial"/>
          <w:b/>
          <w:bCs/>
        </w:rPr>
        <w:t xml:space="preserve">Temporary Accommodation (TA) – Additional £1.846 million per annum. Housing services </w:t>
      </w:r>
      <w:r w:rsidRPr="6F9FB908">
        <w:rPr>
          <w:rFonts w:eastAsia="Arial" w:cs="Arial"/>
          <w:color w:val="000000" w:themeColor="text1"/>
        </w:rPr>
        <w:t>continues to experience the most significant increase in homelessness demand in over a decade. There has been a real risk that the Council could fail to deliver its statutory homelessness function over the last 12 months due to this unprecedented rise in demand and unavailability of suitable housing. This has been avoided and the service is now in a better position, due to significant and urgent service development and fixed term investment which has seen more staff working on the prevention of homelessness and the management of temporary accommodation (TA), alongside good progress in sourcing more accommodation. This has been funded through a combination of £300k provision made within the Council’s budget, and the government top up to the Homelessness Prevention Grant.</w:t>
      </w:r>
    </w:p>
    <w:p w14:paraId="523718B9" w14:textId="6980AD67" w:rsidR="64688DE5" w:rsidRDefault="64688DE5" w:rsidP="462CD69D">
      <w:pPr>
        <w:pStyle w:val="ListParagraph"/>
        <w:shd w:val="clear" w:color="auto" w:fill="FFFFFF" w:themeFill="background1"/>
        <w:ind w:left="928"/>
      </w:pPr>
    </w:p>
    <w:p w14:paraId="3A048031" w14:textId="470832B6" w:rsidR="64688DE5" w:rsidRDefault="0FE960DC" w:rsidP="462CD69D">
      <w:pPr>
        <w:pStyle w:val="ListParagraph"/>
        <w:shd w:val="clear" w:color="auto" w:fill="FFFFFF" w:themeFill="background1"/>
        <w:ind w:left="928"/>
        <w:rPr>
          <w:rFonts w:eastAsia="Arial" w:cs="Arial"/>
          <w:color w:val="000000" w:themeColor="text1"/>
        </w:rPr>
      </w:pPr>
      <w:r w:rsidRPr="6F9FB908">
        <w:rPr>
          <w:rFonts w:eastAsia="Arial" w:cs="Arial"/>
          <w:color w:val="000000" w:themeColor="text1"/>
        </w:rPr>
        <w:t>It should be noted</w:t>
      </w:r>
      <w:r w:rsidR="006734EF">
        <w:rPr>
          <w:rFonts w:eastAsia="Arial" w:cs="Arial"/>
          <w:color w:val="000000" w:themeColor="text1"/>
        </w:rPr>
        <w:t>,</w:t>
      </w:r>
      <w:r w:rsidRPr="6F9FB908">
        <w:rPr>
          <w:rFonts w:eastAsia="Arial" w:cs="Arial"/>
          <w:color w:val="000000" w:themeColor="text1"/>
        </w:rPr>
        <w:t xml:space="preserve"> h</w:t>
      </w:r>
      <w:r w:rsidR="46BEC084" w:rsidRPr="6F9FB908">
        <w:rPr>
          <w:rFonts w:eastAsia="Arial" w:cs="Arial"/>
          <w:color w:val="000000" w:themeColor="text1"/>
        </w:rPr>
        <w:t xml:space="preserve">owever, </w:t>
      </w:r>
      <w:r w:rsidR="7208B090" w:rsidRPr="6F9FB908">
        <w:rPr>
          <w:rFonts w:eastAsia="Arial" w:cs="Arial"/>
          <w:color w:val="000000" w:themeColor="text1"/>
        </w:rPr>
        <w:t xml:space="preserve">that </w:t>
      </w:r>
      <w:r w:rsidR="46BEC084" w:rsidRPr="6F9FB908">
        <w:rPr>
          <w:rFonts w:eastAsia="Arial" w:cs="Arial"/>
          <w:color w:val="000000" w:themeColor="text1"/>
        </w:rPr>
        <w:t xml:space="preserve">the ongoing challenge of high demand </w:t>
      </w:r>
      <w:r w:rsidR="419857C6" w:rsidRPr="6F9FB908">
        <w:rPr>
          <w:rFonts w:eastAsia="Arial" w:cs="Arial"/>
          <w:color w:val="000000" w:themeColor="text1"/>
        </w:rPr>
        <w:t xml:space="preserve">remains the </w:t>
      </w:r>
      <w:r w:rsidR="00F42D9C" w:rsidRPr="6F9FB908">
        <w:rPr>
          <w:rFonts w:eastAsia="Arial" w:cs="Arial"/>
          <w:color w:val="000000" w:themeColor="text1"/>
        </w:rPr>
        <w:t>same.</w:t>
      </w:r>
      <w:r w:rsidR="46BEC084" w:rsidRPr="6F9FB908">
        <w:rPr>
          <w:rFonts w:eastAsia="Arial" w:cs="Arial"/>
          <w:color w:val="000000" w:themeColor="text1"/>
        </w:rPr>
        <w:t xml:space="preserve"> It has major implications on the Council’s budget position for years to come, due to the cost of needing to temporarily accommodate so many households in expensive short-term accommodation such as BnB and Nightly Charge, which resulted in a large overspend in 23/24 and continues to put a pressure on the 2024-25 budget.</w:t>
      </w:r>
    </w:p>
    <w:p w14:paraId="48096685" w14:textId="7EDC503D" w:rsidR="64688DE5" w:rsidRDefault="64688DE5" w:rsidP="462CD69D">
      <w:pPr>
        <w:pStyle w:val="ListParagraph"/>
        <w:shd w:val="clear" w:color="auto" w:fill="FFFFFF" w:themeFill="background1"/>
        <w:ind w:left="928"/>
        <w:rPr>
          <w:rFonts w:eastAsia="Arial" w:cs="Arial"/>
          <w:color w:val="000000" w:themeColor="text1"/>
        </w:rPr>
      </w:pPr>
    </w:p>
    <w:p w14:paraId="6F4BA185" w14:textId="02437B59" w:rsidR="64688DE5" w:rsidRDefault="00F65884" w:rsidP="462CD69D">
      <w:pPr>
        <w:pStyle w:val="ListParagraph"/>
        <w:shd w:val="clear" w:color="auto" w:fill="FFFFFF" w:themeFill="background1"/>
        <w:ind w:left="928"/>
        <w:rPr>
          <w:rFonts w:eastAsia="Arial" w:cs="Arial"/>
          <w:color w:val="000000" w:themeColor="text1"/>
        </w:rPr>
      </w:pPr>
      <w:r>
        <w:rPr>
          <w:rFonts w:eastAsia="Arial" w:cs="Arial"/>
          <w:color w:val="000000" w:themeColor="text1"/>
        </w:rPr>
        <w:t xml:space="preserve">The </w:t>
      </w:r>
      <w:r w:rsidR="59C84C48" w:rsidRPr="1EDB5DC6">
        <w:rPr>
          <w:rFonts w:eastAsia="Arial" w:cs="Arial"/>
          <w:color w:val="000000" w:themeColor="text1"/>
        </w:rPr>
        <w:t xml:space="preserve">May </w:t>
      </w:r>
      <w:r>
        <w:rPr>
          <w:rFonts w:eastAsia="Arial" w:cs="Arial"/>
          <w:color w:val="000000" w:themeColor="text1"/>
        </w:rPr>
        <w:t>f</w:t>
      </w:r>
      <w:r w:rsidR="59C84C48" w:rsidRPr="1EDB5DC6">
        <w:rPr>
          <w:rFonts w:eastAsia="Arial" w:cs="Arial"/>
          <w:color w:val="000000" w:themeColor="text1"/>
        </w:rPr>
        <w:t xml:space="preserve">orecast </w:t>
      </w:r>
      <w:r>
        <w:rPr>
          <w:rFonts w:eastAsia="Arial" w:cs="Arial"/>
          <w:color w:val="000000" w:themeColor="text1"/>
        </w:rPr>
        <w:t xml:space="preserve">outturn, </w:t>
      </w:r>
      <w:r w:rsidR="59C84C48" w:rsidRPr="1EDB5DC6">
        <w:rPr>
          <w:rFonts w:eastAsia="Arial" w:cs="Arial"/>
          <w:color w:val="000000" w:themeColor="text1"/>
        </w:rPr>
        <w:t xml:space="preserve">based on </w:t>
      </w:r>
      <w:r>
        <w:rPr>
          <w:rFonts w:eastAsia="Arial" w:cs="Arial"/>
          <w:color w:val="000000" w:themeColor="text1"/>
        </w:rPr>
        <w:t xml:space="preserve">the </w:t>
      </w:r>
      <w:r w:rsidR="59C84C48" w:rsidRPr="1EDB5DC6">
        <w:rPr>
          <w:rFonts w:eastAsia="Arial" w:cs="Arial"/>
          <w:color w:val="000000" w:themeColor="text1"/>
        </w:rPr>
        <w:t xml:space="preserve">projections </w:t>
      </w:r>
      <w:r>
        <w:rPr>
          <w:rFonts w:eastAsia="Arial" w:cs="Arial"/>
          <w:color w:val="000000" w:themeColor="text1"/>
        </w:rPr>
        <w:t xml:space="preserve">at the time indicated </w:t>
      </w:r>
      <w:proofErr w:type="gramStart"/>
      <w:r>
        <w:rPr>
          <w:rFonts w:eastAsia="Arial" w:cs="Arial"/>
          <w:color w:val="000000" w:themeColor="text1"/>
        </w:rPr>
        <w:t xml:space="preserve">that </w:t>
      </w:r>
      <w:r w:rsidR="59C84C48" w:rsidRPr="1EDB5DC6">
        <w:rPr>
          <w:rFonts w:eastAsia="Arial" w:cs="Arial"/>
          <w:color w:val="000000" w:themeColor="text1"/>
        </w:rPr>
        <w:t xml:space="preserve"> the</w:t>
      </w:r>
      <w:proofErr w:type="gramEnd"/>
      <w:r w:rsidR="59C84C48" w:rsidRPr="1EDB5DC6">
        <w:rPr>
          <w:rFonts w:eastAsia="Arial" w:cs="Arial"/>
          <w:color w:val="000000" w:themeColor="text1"/>
        </w:rPr>
        <w:t xml:space="preserve"> service budget w</w:t>
      </w:r>
      <w:r>
        <w:rPr>
          <w:rFonts w:eastAsia="Arial" w:cs="Arial"/>
          <w:color w:val="000000" w:themeColor="text1"/>
        </w:rPr>
        <w:t xml:space="preserve">ould be </w:t>
      </w:r>
      <w:r w:rsidR="59C84C48" w:rsidRPr="1EDB5DC6">
        <w:rPr>
          <w:rFonts w:eastAsia="Arial" w:cs="Arial"/>
          <w:color w:val="000000" w:themeColor="text1"/>
        </w:rPr>
        <w:t>overspen</w:t>
      </w:r>
      <w:r>
        <w:rPr>
          <w:rFonts w:eastAsia="Arial" w:cs="Arial"/>
          <w:color w:val="000000" w:themeColor="text1"/>
        </w:rPr>
        <w:t>t</w:t>
      </w:r>
      <w:r w:rsidR="59C84C48" w:rsidRPr="1EDB5DC6">
        <w:rPr>
          <w:rFonts w:eastAsia="Arial" w:cs="Arial"/>
          <w:color w:val="000000" w:themeColor="text1"/>
        </w:rPr>
        <w:t xml:space="preserve"> by £3.3</w:t>
      </w:r>
      <w:r>
        <w:rPr>
          <w:rFonts w:eastAsia="Arial" w:cs="Arial"/>
          <w:color w:val="000000" w:themeColor="text1"/>
        </w:rPr>
        <w:t xml:space="preserve"> </w:t>
      </w:r>
      <w:r w:rsidR="59C84C48" w:rsidRPr="1EDB5DC6">
        <w:rPr>
          <w:rFonts w:eastAsia="Arial" w:cs="Arial"/>
          <w:color w:val="000000" w:themeColor="text1"/>
        </w:rPr>
        <w:t xml:space="preserve">m in </w:t>
      </w:r>
      <w:r w:rsidR="55898D0A" w:rsidRPr="1EDB5DC6">
        <w:rPr>
          <w:rFonts w:eastAsia="Arial" w:cs="Arial"/>
          <w:color w:val="000000" w:themeColor="text1"/>
        </w:rPr>
        <w:t>20</w:t>
      </w:r>
      <w:r w:rsidR="59C84C48" w:rsidRPr="1EDB5DC6">
        <w:rPr>
          <w:rFonts w:eastAsia="Arial" w:cs="Arial"/>
          <w:color w:val="000000" w:themeColor="text1"/>
        </w:rPr>
        <w:t xml:space="preserve">24/25, due to high and increasing numbers of households accommodated in hotel and </w:t>
      </w:r>
      <w:r w:rsidR="006734EF">
        <w:rPr>
          <w:rFonts w:eastAsia="Arial" w:cs="Arial"/>
          <w:color w:val="000000" w:themeColor="text1"/>
        </w:rPr>
        <w:t>B&amp;B</w:t>
      </w:r>
      <w:r w:rsidR="006734EF" w:rsidRPr="1EDB5DC6">
        <w:rPr>
          <w:rFonts w:eastAsia="Arial" w:cs="Arial"/>
          <w:color w:val="000000" w:themeColor="text1"/>
        </w:rPr>
        <w:t xml:space="preserve"> </w:t>
      </w:r>
      <w:r w:rsidR="59C84C48" w:rsidRPr="1EDB5DC6">
        <w:rPr>
          <w:rFonts w:eastAsia="Arial" w:cs="Arial"/>
          <w:color w:val="000000" w:themeColor="text1"/>
        </w:rPr>
        <w:t xml:space="preserve">accommodation. </w:t>
      </w:r>
      <w:r>
        <w:rPr>
          <w:rFonts w:eastAsia="Arial" w:cs="Arial"/>
          <w:color w:val="000000" w:themeColor="text1"/>
        </w:rPr>
        <w:t xml:space="preserve">Latest modelling </w:t>
      </w:r>
      <w:r w:rsidR="59C84C48" w:rsidRPr="1EDB5DC6">
        <w:rPr>
          <w:rFonts w:eastAsia="Arial" w:cs="Arial"/>
          <w:color w:val="000000" w:themeColor="text1"/>
        </w:rPr>
        <w:t xml:space="preserve">in September </w:t>
      </w:r>
      <w:r>
        <w:rPr>
          <w:rFonts w:eastAsia="Arial" w:cs="Arial"/>
          <w:color w:val="000000" w:themeColor="text1"/>
        </w:rPr>
        <w:t xml:space="preserve">suggests that </w:t>
      </w:r>
      <w:r w:rsidR="59C84C48" w:rsidRPr="1EDB5DC6">
        <w:rPr>
          <w:rFonts w:eastAsia="Arial" w:cs="Arial"/>
          <w:color w:val="000000" w:themeColor="text1"/>
        </w:rPr>
        <w:t xml:space="preserve">projected TA numbers, informed by the latest TA placement rate and pipeline of new TA stock the Council is bringing online over the next 2 years, and </w:t>
      </w:r>
      <w:r>
        <w:rPr>
          <w:rFonts w:eastAsia="Arial" w:cs="Arial"/>
          <w:color w:val="000000" w:themeColor="text1"/>
        </w:rPr>
        <w:t>f</w:t>
      </w:r>
      <w:r w:rsidR="59C84C48" w:rsidRPr="1EDB5DC6">
        <w:rPr>
          <w:rFonts w:eastAsia="Arial" w:cs="Arial"/>
          <w:color w:val="000000" w:themeColor="text1"/>
        </w:rPr>
        <w:t xml:space="preserve">aster TA move on </w:t>
      </w:r>
      <w:r>
        <w:rPr>
          <w:rFonts w:eastAsia="Arial" w:cs="Arial"/>
          <w:color w:val="000000" w:themeColor="text1"/>
        </w:rPr>
        <w:t xml:space="preserve">that the previous </w:t>
      </w:r>
      <w:r w:rsidR="59C84C48" w:rsidRPr="1EDB5DC6">
        <w:rPr>
          <w:rFonts w:eastAsia="Arial" w:cs="Arial"/>
          <w:color w:val="000000" w:themeColor="text1"/>
        </w:rPr>
        <w:t>forecast</w:t>
      </w:r>
      <w:r>
        <w:rPr>
          <w:rFonts w:eastAsia="Arial" w:cs="Arial"/>
          <w:color w:val="000000" w:themeColor="text1"/>
        </w:rPr>
        <w:t xml:space="preserve"> overspend can be revised to </w:t>
      </w:r>
      <w:r w:rsidR="59C84C48" w:rsidRPr="1EDB5DC6">
        <w:rPr>
          <w:rFonts w:eastAsia="Arial" w:cs="Arial"/>
          <w:color w:val="000000" w:themeColor="text1"/>
        </w:rPr>
        <w:t>around £1.9 million.</w:t>
      </w:r>
    </w:p>
    <w:p w14:paraId="0C0987FC" w14:textId="7F47D66F" w:rsidR="64688DE5" w:rsidRDefault="64688DE5" w:rsidP="462CD69D">
      <w:pPr>
        <w:pStyle w:val="ListParagraph"/>
        <w:shd w:val="clear" w:color="auto" w:fill="FFFFFF" w:themeFill="background1"/>
        <w:ind w:left="928"/>
        <w:rPr>
          <w:rFonts w:eastAsia="Arial" w:cs="Arial"/>
          <w:color w:val="000000" w:themeColor="text1"/>
        </w:rPr>
      </w:pPr>
    </w:p>
    <w:p w14:paraId="7A063AE8" w14:textId="71DFBE0D" w:rsidR="64688DE5" w:rsidRDefault="46BEC084" w:rsidP="462CD69D">
      <w:pPr>
        <w:pStyle w:val="ListParagraph"/>
        <w:shd w:val="clear" w:color="auto" w:fill="FFFFFF" w:themeFill="background1"/>
        <w:ind w:left="928"/>
        <w:rPr>
          <w:rFonts w:eastAsia="Arial" w:cs="Arial"/>
          <w:color w:val="000000" w:themeColor="text1"/>
        </w:rPr>
      </w:pPr>
      <w:r w:rsidRPr="6F9FB908">
        <w:rPr>
          <w:rFonts w:eastAsia="Arial" w:cs="Arial"/>
          <w:color w:val="000000" w:themeColor="text1"/>
        </w:rPr>
        <w:t>The reason for the ongoing overspends into future years is due to demand showing no signs of declining</w:t>
      </w:r>
      <w:r w:rsidR="00F65884">
        <w:rPr>
          <w:rFonts w:eastAsia="Arial" w:cs="Arial"/>
          <w:color w:val="000000" w:themeColor="text1"/>
        </w:rPr>
        <w:t>,</w:t>
      </w:r>
      <w:r w:rsidRPr="6F9FB908">
        <w:rPr>
          <w:rFonts w:eastAsia="Arial" w:cs="Arial"/>
          <w:color w:val="000000" w:themeColor="text1"/>
        </w:rPr>
        <w:t xml:space="preserve"> resulting in continued rises in numbers in TA, and time needed to grow sufficiently</w:t>
      </w:r>
      <w:r w:rsidR="7B5401E5" w:rsidRPr="6F9FB908">
        <w:rPr>
          <w:rFonts w:eastAsia="Arial" w:cs="Arial"/>
          <w:color w:val="000000" w:themeColor="text1"/>
        </w:rPr>
        <w:t xml:space="preserve"> both</w:t>
      </w:r>
      <w:r w:rsidRPr="6F9FB908">
        <w:rPr>
          <w:rFonts w:eastAsia="Arial" w:cs="Arial"/>
          <w:color w:val="000000" w:themeColor="text1"/>
        </w:rPr>
        <w:t xml:space="preserve"> our </w:t>
      </w:r>
      <w:r w:rsidR="4CB8047E" w:rsidRPr="6F9FB908">
        <w:rPr>
          <w:rFonts w:eastAsia="Arial" w:cs="Arial"/>
          <w:color w:val="000000" w:themeColor="text1"/>
        </w:rPr>
        <w:t>temporary accommodation</w:t>
      </w:r>
      <w:r w:rsidRPr="6F9FB908">
        <w:rPr>
          <w:rFonts w:eastAsia="Arial" w:cs="Arial"/>
          <w:color w:val="000000" w:themeColor="text1"/>
        </w:rPr>
        <w:t xml:space="preserve"> stock</w:t>
      </w:r>
      <w:r w:rsidR="5BC68D49" w:rsidRPr="6F9FB908">
        <w:rPr>
          <w:rFonts w:eastAsia="Arial" w:cs="Arial"/>
          <w:color w:val="000000" w:themeColor="text1"/>
        </w:rPr>
        <w:t xml:space="preserve"> and our permanent pipeline of supply across the private and social sectors</w:t>
      </w:r>
      <w:r w:rsidRPr="6F9FB908">
        <w:rPr>
          <w:rFonts w:eastAsia="Arial" w:cs="Arial"/>
          <w:color w:val="000000" w:themeColor="text1"/>
        </w:rPr>
        <w:t xml:space="preserve">. </w:t>
      </w:r>
    </w:p>
    <w:p w14:paraId="397EB7DF" w14:textId="693B1AFA" w:rsidR="64688DE5" w:rsidRDefault="64688DE5" w:rsidP="462CD69D">
      <w:pPr>
        <w:pStyle w:val="ListParagraph"/>
        <w:shd w:val="clear" w:color="auto" w:fill="FFFFFF" w:themeFill="background1"/>
        <w:ind w:left="928"/>
        <w:rPr>
          <w:rFonts w:eastAsia="Arial" w:cs="Arial"/>
          <w:color w:val="000000" w:themeColor="text1"/>
          <w:sz w:val="22"/>
          <w:szCs w:val="22"/>
        </w:rPr>
      </w:pPr>
    </w:p>
    <w:p w14:paraId="1FF7751C" w14:textId="2D2FD7AB" w:rsidR="64688DE5" w:rsidRDefault="75FAEE78" w:rsidP="009046B9">
      <w:pPr>
        <w:pStyle w:val="ListParagraph"/>
        <w:numPr>
          <w:ilvl w:val="0"/>
          <w:numId w:val="14"/>
        </w:numPr>
        <w:shd w:val="clear" w:color="auto" w:fill="FFFFFF" w:themeFill="background1"/>
        <w:rPr>
          <w:rFonts w:cs="Arial"/>
        </w:rPr>
      </w:pPr>
      <w:r w:rsidRPr="60EA432F">
        <w:rPr>
          <w:rFonts w:cs="Arial"/>
          <w:b/>
          <w:bCs/>
        </w:rPr>
        <w:t>ICT – £435k Software</w:t>
      </w:r>
      <w:r w:rsidRPr="60EA432F">
        <w:rPr>
          <w:rFonts w:cs="Arial"/>
        </w:rPr>
        <w:t xml:space="preserve"> and license costs of our major systems including Agresso financial </w:t>
      </w:r>
      <w:r w:rsidR="200320C8" w:rsidRPr="60EA432F">
        <w:rPr>
          <w:rFonts w:cs="Arial"/>
        </w:rPr>
        <w:t>management</w:t>
      </w:r>
      <w:r w:rsidRPr="60EA432F">
        <w:rPr>
          <w:rFonts w:cs="Arial"/>
        </w:rPr>
        <w:t xml:space="preserve">, </w:t>
      </w:r>
      <w:proofErr w:type="spellStart"/>
      <w:r w:rsidRPr="60EA432F">
        <w:rPr>
          <w:rFonts w:cs="Arial"/>
        </w:rPr>
        <w:t>Civica</w:t>
      </w:r>
      <w:proofErr w:type="spellEnd"/>
      <w:r w:rsidRPr="60EA432F">
        <w:rPr>
          <w:rFonts w:cs="Arial"/>
        </w:rPr>
        <w:t xml:space="preserve"> Pay and license cost. </w:t>
      </w:r>
    </w:p>
    <w:p w14:paraId="1EFB5E75" w14:textId="67A36050" w:rsidR="64688DE5" w:rsidRDefault="75FAEE78" w:rsidP="009046B9">
      <w:pPr>
        <w:pStyle w:val="ListParagraph"/>
        <w:numPr>
          <w:ilvl w:val="0"/>
          <w:numId w:val="14"/>
        </w:numPr>
        <w:shd w:val="clear" w:color="auto" w:fill="FFFFFF" w:themeFill="background1"/>
        <w:rPr>
          <w:rFonts w:cs="Arial"/>
        </w:rPr>
      </w:pPr>
      <w:r w:rsidRPr="60EA432F">
        <w:rPr>
          <w:rFonts w:cs="Arial"/>
          <w:b/>
          <w:bCs/>
        </w:rPr>
        <w:t xml:space="preserve">ICT Infrastructure –£389k per annum </w:t>
      </w:r>
      <w:r w:rsidRPr="60EA432F">
        <w:rPr>
          <w:rFonts w:cs="Arial"/>
        </w:rPr>
        <w:t xml:space="preserve">Council in April 2024 agreed an extension in the contract for the provision of ICT </w:t>
      </w:r>
      <w:r w:rsidR="6E0AD82B" w:rsidRPr="60EA432F">
        <w:rPr>
          <w:rFonts w:cs="Arial"/>
        </w:rPr>
        <w:t>infrastructure</w:t>
      </w:r>
      <w:r w:rsidRPr="60EA432F">
        <w:rPr>
          <w:rFonts w:cs="Arial"/>
        </w:rPr>
        <w:t xml:space="preserve"> with the current service provider. Over a </w:t>
      </w:r>
      <w:r w:rsidR="416A2469" w:rsidRPr="60EA432F">
        <w:rPr>
          <w:rFonts w:cs="Arial"/>
        </w:rPr>
        <w:t>2-year</w:t>
      </w:r>
      <w:r w:rsidRPr="60EA432F">
        <w:rPr>
          <w:rFonts w:cs="Arial"/>
        </w:rPr>
        <w:t xml:space="preserve"> period the provider will assist the council to move core council systems to cloud based technology aimed at reducing server costs at the same time as the council initiating a review of storage costs. Over time there will be cost reductions although at this point it is difficult to </w:t>
      </w:r>
      <w:r w:rsidR="757CBBAC" w:rsidRPr="60EA432F">
        <w:rPr>
          <w:rFonts w:cs="Arial"/>
        </w:rPr>
        <w:t>estimate</w:t>
      </w:r>
      <w:r w:rsidRPr="60EA432F">
        <w:rPr>
          <w:rFonts w:cs="Arial"/>
        </w:rPr>
        <w:t xml:space="preserve"> the amount.  </w:t>
      </w:r>
    </w:p>
    <w:p w14:paraId="3B025794" w14:textId="762F143C" w:rsidR="64688DE5" w:rsidRDefault="59C84C48" w:rsidP="009046B9">
      <w:pPr>
        <w:pStyle w:val="ListParagraph"/>
        <w:numPr>
          <w:ilvl w:val="0"/>
          <w:numId w:val="14"/>
        </w:numPr>
        <w:ind w:left="993" w:right="386" w:hanging="426"/>
        <w:rPr>
          <w:rFonts w:cs="Arial"/>
        </w:rPr>
      </w:pPr>
      <w:r w:rsidRPr="1EDB5DC6">
        <w:rPr>
          <w:rFonts w:cs="Arial"/>
          <w:b/>
          <w:bCs/>
        </w:rPr>
        <w:t>Cyber Response- £223k per annum -</w:t>
      </w:r>
      <w:r w:rsidRPr="1EDB5DC6">
        <w:rPr>
          <w:rFonts w:cs="Arial"/>
        </w:rPr>
        <w:t xml:space="preserve"> </w:t>
      </w:r>
      <w:proofErr w:type="gramStart"/>
      <w:r w:rsidRPr="1EDB5DC6">
        <w:rPr>
          <w:rFonts w:cs="Arial"/>
        </w:rPr>
        <w:t>in order for</w:t>
      </w:r>
      <w:proofErr w:type="gramEnd"/>
      <w:r w:rsidRPr="1EDB5DC6">
        <w:rPr>
          <w:rFonts w:cs="Arial"/>
        </w:rPr>
        <w:t xml:space="preserve"> the </w:t>
      </w:r>
      <w:r w:rsidR="03A1AEA7" w:rsidRPr="1EDB5DC6">
        <w:rPr>
          <w:rFonts w:cs="Arial"/>
        </w:rPr>
        <w:t>council to</w:t>
      </w:r>
      <w:r w:rsidRPr="1EDB5DC6">
        <w:rPr>
          <w:rFonts w:cs="Arial"/>
        </w:rPr>
        <w:t xml:space="preserve"> ensure the security of its ICT systems it requires </w:t>
      </w:r>
      <w:r w:rsidR="35CB55CD" w:rsidRPr="1EDB5DC6">
        <w:rPr>
          <w:rFonts w:cs="Arial"/>
        </w:rPr>
        <w:t>third</w:t>
      </w:r>
      <w:r w:rsidRPr="1EDB5DC6">
        <w:rPr>
          <w:rFonts w:cs="Arial"/>
        </w:rPr>
        <w:t xml:space="preserve"> party </w:t>
      </w:r>
      <w:r w:rsidR="5D71AE82" w:rsidRPr="1EDB5DC6">
        <w:rPr>
          <w:rFonts w:cs="Arial"/>
        </w:rPr>
        <w:t>expertise</w:t>
      </w:r>
      <w:r w:rsidRPr="1EDB5DC6">
        <w:rPr>
          <w:rFonts w:cs="Arial"/>
        </w:rPr>
        <w:t xml:space="preserve">. This was approved last year for one year and this provides budgetary resources to finance ongoing.    </w:t>
      </w:r>
    </w:p>
    <w:p w14:paraId="2EF47642" w14:textId="14DCF7E1" w:rsidR="64688DE5" w:rsidRDefault="59C84C48" w:rsidP="009046B9">
      <w:pPr>
        <w:pStyle w:val="ListParagraph"/>
        <w:numPr>
          <w:ilvl w:val="0"/>
          <w:numId w:val="14"/>
        </w:numPr>
        <w:ind w:left="993" w:right="386" w:hanging="426"/>
        <w:rPr>
          <w:rFonts w:cs="Arial"/>
        </w:rPr>
      </w:pPr>
      <w:r w:rsidRPr="6F9FB908">
        <w:rPr>
          <w:rFonts w:cs="Arial"/>
          <w:b/>
          <w:bCs/>
        </w:rPr>
        <w:t>May Morning Cost Pressure -£</w:t>
      </w:r>
      <w:r w:rsidR="5B70C5A9" w:rsidRPr="6F9FB908">
        <w:rPr>
          <w:rFonts w:cs="Arial"/>
          <w:b/>
          <w:bCs/>
        </w:rPr>
        <w:t>25</w:t>
      </w:r>
      <w:r w:rsidRPr="6F9FB908">
        <w:rPr>
          <w:rFonts w:cs="Arial"/>
          <w:b/>
          <w:bCs/>
        </w:rPr>
        <w:t xml:space="preserve">k per annum </w:t>
      </w:r>
      <w:r w:rsidRPr="6F9FB908">
        <w:rPr>
          <w:rFonts w:cs="Arial"/>
        </w:rPr>
        <w:t xml:space="preserve">– Efforts to obtain sponsorship to fund these costs have not been </w:t>
      </w:r>
      <w:r w:rsidR="1FEAF6B6" w:rsidRPr="6F9FB908">
        <w:rPr>
          <w:rFonts w:cs="Arial"/>
        </w:rPr>
        <w:t>achieved</w:t>
      </w:r>
      <w:r w:rsidRPr="6F9FB908">
        <w:rPr>
          <w:rFonts w:cs="Arial"/>
        </w:rPr>
        <w:t xml:space="preserve"> although council officers </w:t>
      </w:r>
      <w:r w:rsidR="73DA5BD7" w:rsidRPr="6F9FB908">
        <w:rPr>
          <w:rFonts w:cs="Arial"/>
        </w:rPr>
        <w:t>will</w:t>
      </w:r>
      <w:r w:rsidRPr="6F9FB908">
        <w:rPr>
          <w:rFonts w:cs="Arial"/>
        </w:rPr>
        <w:t xml:space="preserve"> continue to work on this it seems prudent to make </w:t>
      </w:r>
      <w:r w:rsidR="11BEFCCE" w:rsidRPr="6F9FB908">
        <w:rPr>
          <w:rFonts w:cs="Arial"/>
        </w:rPr>
        <w:t>some</w:t>
      </w:r>
      <w:r w:rsidRPr="6F9FB908">
        <w:rPr>
          <w:rFonts w:cs="Arial"/>
        </w:rPr>
        <w:t xml:space="preserve"> budget provision.</w:t>
      </w:r>
    </w:p>
    <w:p w14:paraId="70C38739" w14:textId="12BEEF25" w:rsidR="64688DE5" w:rsidRDefault="46BEC084" w:rsidP="009046B9">
      <w:pPr>
        <w:pStyle w:val="ListParagraph"/>
        <w:numPr>
          <w:ilvl w:val="0"/>
          <w:numId w:val="14"/>
        </w:numPr>
        <w:ind w:left="993" w:right="386" w:hanging="426"/>
        <w:rPr>
          <w:rFonts w:cs="Arial"/>
        </w:rPr>
      </w:pPr>
      <w:r w:rsidRPr="462CD69D">
        <w:rPr>
          <w:rFonts w:cs="Arial"/>
          <w:b/>
          <w:bCs/>
        </w:rPr>
        <w:lastRenderedPageBreak/>
        <w:t>Additional surveyor for leisure centres - £46k per annum</w:t>
      </w:r>
      <w:r w:rsidRPr="462CD69D">
        <w:rPr>
          <w:rFonts w:cs="Arial"/>
        </w:rPr>
        <w:t xml:space="preserve"> – Provision has been made for a surveyor to look after the leisure estate and ensure that the buildings are made appropriately.</w:t>
      </w:r>
    </w:p>
    <w:p w14:paraId="46684CEE" w14:textId="56E01D19" w:rsidR="64688DE5" w:rsidRDefault="3682A6A6" w:rsidP="009046B9">
      <w:pPr>
        <w:pStyle w:val="ListParagraph"/>
        <w:numPr>
          <w:ilvl w:val="0"/>
          <w:numId w:val="14"/>
        </w:numPr>
        <w:ind w:left="993" w:right="386" w:hanging="426"/>
        <w:rPr>
          <w:rFonts w:cs="Arial"/>
        </w:rPr>
      </w:pPr>
      <w:r w:rsidRPr="6F9FB908">
        <w:rPr>
          <w:rFonts w:cs="Arial"/>
          <w:b/>
          <w:bCs/>
        </w:rPr>
        <w:t xml:space="preserve">Planned repairs and maintenance </w:t>
      </w:r>
      <w:r w:rsidRPr="6F9FB908">
        <w:rPr>
          <w:rFonts w:cs="Arial"/>
        </w:rPr>
        <w:t>–</w:t>
      </w:r>
      <w:r w:rsidRPr="6F9FB908">
        <w:rPr>
          <w:rFonts w:cs="Arial"/>
          <w:b/>
          <w:bCs/>
        </w:rPr>
        <w:t xml:space="preserve">£303k per annum </w:t>
      </w:r>
      <w:proofErr w:type="gramStart"/>
      <w:r w:rsidRPr="6F9FB908">
        <w:rPr>
          <w:rFonts w:cs="Arial"/>
        </w:rPr>
        <w:t>-  The</w:t>
      </w:r>
      <w:proofErr w:type="gramEnd"/>
      <w:r w:rsidRPr="6F9FB908">
        <w:rPr>
          <w:rFonts w:cs="Arial"/>
        </w:rPr>
        <w:t xml:space="preserve"> base budget for planned maintenance is currently £</w:t>
      </w:r>
      <w:r w:rsidR="27605D3C" w:rsidRPr="6F9FB908">
        <w:rPr>
          <w:rFonts w:cs="Arial"/>
        </w:rPr>
        <w:t>0.446k</w:t>
      </w:r>
      <w:r w:rsidRPr="6F9FB908">
        <w:rPr>
          <w:rFonts w:cs="Arial"/>
        </w:rPr>
        <w:t xml:space="preserve"> per annum. A substantial amount of building repairs has been capitalised but allowing for an additional £233k per annum in the budget is required to cover those items which do not meet the criteria for capital and therefore cannot be </w:t>
      </w:r>
      <w:proofErr w:type="spellStart"/>
      <w:proofErr w:type="gramStart"/>
      <w:r w:rsidRPr="6F9FB908">
        <w:rPr>
          <w:rFonts w:cs="Arial"/>
        </w:rPr>
        <w:t>capitalised.</w:t>
      </w:r>
      <w:r w:rsidR="22F4A5B3" w:rsidRPr="6F9FB908">
        <w:rPr>
          <w:rFonts w:cs="Arial"/>
        </w:rPr>
        <w:t>This</w:t>
      </w:r>
      <w:proofErr w:type="spellEnd"/>
      <w:proofErr w:type="gramEnd"/>
      <w:r w:rsidR="22F4A5B3" w:rsidRPr="6F9FB908">
        <w:rPr>
          <w:rFonts w:cs="Arial"/>
        </w:rPr>
        <w:t xml:space="preserve"> supports the increases of income from the property portfolio.</w:t>
      </w:r>
    </w:p>
    <w:p w14:paraId="33CFF07E" w14:textId="24A98200" w:rsidR="64688DE5" w:rsidRDefault="3682A6A6" w:rsidP="009046B9">
      <w:pPr>
        <w:pStyle w:val="ListParagraph"/>
        <w:numPr>
          <w:ilvl w:val="0"/>
          <w:numId w:val="14"/>
        </w:numPr>
        <w:ind w:left="993" w:right="386" w:hanging="426"/>
        <w:rPr>
          <w:rFonts w:cs="Arial"/>
        </w:rPr>
      </w:pPr>
      <w:r w:rsidRPr="1EDB5DC6">
        <w:rPr>
          <w:rFonts w:cs="Arial"/>
          <w:b/>
          <w:bCs/>
        </w:rPr>
        <w:t xml:space="preserve">ODS </w:t>
      </w:r>
      <w:r w:rsidR="67CF998C" w:rsidRPr="1EDB5DC6">
        <w:rPr>
          <w:rFonts w:cs="Arial"/>
          <w:b/>
          <w:bCs/>
        </w:rPr>
        <w:t>contractual</w:t>
      </w:r>
      <w:r w:rsidRPr="1EDB5DC6">
        <w:rPr>
          <w:rFonts w:cs="Arial"/>
          <w:b/>
          <w:bCs/>
        </w:rPr>
        <w:t xml:space="preserve"> pressures - £52k per annum </w:t>
      </w:r>
      <w:r w:rsidRPr="1EDB5DC6">
        <w:rPr>
          <w:rFonts w:cs="Arial"/>
        </w:rPr>
        <w:t xml:space="preserve">– These cover items such as fly tipping and bulky </w:t>
      </w:r>
      <w:r w:rsidR="6E32856C" w:rsidRPr="1EDB5DC6">
        <w:rPr>
          <w:rFonts w:cs="Arial"/>
        </w:rPr>
        <w:t>waste</w:t>
      </w:r>
      <w:r w:rsidRPr="1EDB5DC6">
        <w:rPr>
          <w:rFonts w:cs="Arial"/>
        </w:rPr>
        <w:t xml:space="preserve"> collections, life ring </w:t>
      </w:r>
      <w:r w:rsidR="46DC498E" w:rsidRPr="1EDB5DC6">
        <w:rPr>
          <w:rFonts w:cs="Arial"/>
        </w:rPr>
        <w:t>maintenance,</w:t>
      </w:r>
      <w:r w:rsidRPr="1EDB5DC6">
        <w:rPr>
          <w:rFonts w:cs="Arial"/>
        </w:rPr>
        <w:t xml:space="preserve"> street furniture </w:t>
      </w:r>
      <w:r w:rsidR="2CD4C003" w:rsidRPr="1EDB5DC6">
        <w:rPr>
          <w:rFonts w:cs="Arial"/>
        </w:rPr>
        <w:t>maintenance.</w:t>
      </w:r>
      <w:r w:rsidRPr="1EDB5DC6">
        <w:rPr>
          <w:rFonts w:cs="Arial"/>
        </w:rPr>
        <w:t xml:space="preserve"> </w:t>
      </w:r>
      <w:r w:rsidR="49C3519A" w:rsidRPr="1EDB5DC6">
        <w:rPr>
          <w:rFonts w:cs="Arial"/>
        </w:rPr>
        <w:t>Kennelling</w:t>
      </w:r>
      <w:r w:rsidRPr="1EDB5DC6">
        <w:rPr>
          <w:rFonts w:cs="Arial"/>
        </w:rPr>
        <w:t xml:space="preserve"> and fl</w:t>
      </w:r>
      <w:r w:rsidR="7545CDB7" w:rsidRPr="1EDB5DC6">
        <w:rPr>
          <w:rFonts w:cs="Arial"/>
        </w:rPr>
        <w:t xml:space="preserve">ooding kit storage </w:t>
      </w:r>
      <w:r w:rsidR="55D57B9F" w:rsidRPr="1EDB5DC6">
        <w:rPr>
          <w:rFonts w:cs="Arial"/>
        </w:rPr>
        <w:t>where</w:t>
      </w:r>
      <w:r w:rsidR="7545CDB7" w:rsidRPr="1EDB5DC6">
        <w:rPr>
          <w:rFonts w:cs="Arial"/>
        </w:rPr>
        <w:t xml:space="preserve"> costs have grown over time and </w:t>
      </w:r>
      <w:r w:rsidR="4E1BC859" w:rsidRPr="1EDB5DC6">
        <w:rPr>
          <w:rFonts w:cs="Arial"/>
        </w:rPr>
        <w:t>can</w:t>
      </w:r>
      <w:r w:rsidR="7545CDB7" w:rsidRPr="1EDB5DC6">
        <w:rPr>
          <w:rFonts w:cs="Arial"/>
        </w:rPr>
        <w:t xml:space="preserve"> no longer be </w:t>
      </w:r>
      <w:r w:rsidR="33E76070" w:rsidRPr="1EDB5DC6">
        <w:rPr>
          <w:rFonts w:cs="Arial"/>
        </w:rPr>
        <w:t>absorbed</w:t>
      </w:r>
      <w:r w:rsidR="7545CDB7" w:rsidRPr="1EDB5DC6">
        <w:rPr>
          <w:rFonts w:cs="Arial"/>
        </w:rPr>
        <w:t xml:space="preserve"> by ODS.</w:t>
      </w:r>
    </w:p>
    <w:p w14:paraId="67B51EC2" w14:textId="2705E69F" w:rsidR="64688DE5" w:rsidRDefault="24F61594" w:rsidP="009046B9">
      <w:pPr>
        <w:pStyle w:val="ListParagraph"/>
        <w:numPr>
          <w:ilvl w:val="0"/>
          <w:numId w:val="14"/>
        </w:numPr>
        <w:ind w:left="993" w:right="386" w:hanging="426"/>
        <w:rPr>
          <w:rFonts w:cs="Arial"/>
        </w:rPr>
      </w:pPr>
      <w:r w:rsidRPr="6F9FB908">
        <w:rPr>
          <w:rFonts w:cs="Arial"/>
          <w:b/>
          <w:bCs/>
        </w:rPr>
        <w:t xml:space="preserve">ODS </w:t>
      </w:r>
      <w:proofErr w:type="gramStart"/>
      <w:r w:rsidRPr="6F9FB908">
        <w:rPr>
          <w:rFonts w:cs="Arial"/>
          <w:b/>
          <w:bCs/>
        </w:rPr>
        <w:t>client  -</w:t>
      </w:r>
      <w:proofErr w:type="gramEnd"/>
      <w:r w:rsidRPr="6F9FB908">
        <w:rPr>
          <w:rFonts w:cs="Arial"/>
          <w:b/>
          <w:bCs/>
        </w:rPr>
        <w:t xml:space="preserve"> £160k per annum</w:t>
      </w:r>
      <w:r w:rsidR="7E2E85AE" w:rsidRPr="6F9FB908">
        <w:rPr>
          <w:rFonts w:cs="Arial"/>
          <w:b/>
          <w:bCs/>
        </w:rPr>
        <w:t xml:space="preserve"> form 2026-27</w:t>
      </w:r>
      <w:r w:rsidR="20904E7A" w:rsidRPr="6F9FB908">
        <w:rPr>
          <w:rFonts w:cs="Arial"/>
          <w:b/>
          <w:bCs/>
        </w:rPr>
        <w:t xml:space="preserve">. </w:t>
      </w:r>
      <w:r w:rsidR="20904E7A" w:rsidRPr="6F9FB908">
        <w:rPr>
          <w:rFonts w:cs="Arial"/>
        </w:rPr>
        <w:t xml:space="preserve">ODS have managed to extend its waste and </w:t>
      </w:r>
      <w:r w:rsidR="125EF16D" w:rsidRPr="6F9FB908">
        <w:rPr>
          <w:rFonts w:cs="Arial"/>
        </w:rPr>
        <w:t>recycling</w:t>
      </w:r>
      <w:r w:rsidR="20904E7A" w:rsidRPr="6F9FB908">
        <w:rPr>
          <w:rFonts w:cs="Arial"/>
        </w:rPr>
        <w:t xml:space="preserve"> service to </w:t>
      </w:r>
      <w:r w:rsidR="426853ED" w:rsidRPr="6F9FB908">
        <w:rPr>
          <w:rFonts w:cs="Arial"/>
        </w:rPr>
        <w:t>around</w:t>
      </w:r>
      <w:r w:rsidR="20904E7A" w:rsidRPr="6F9FB908">
        <w:rPr>
          <w:rFonts w:cs="Arial"/>
        </w:rPr>
        <w:t xml:space="preserve"> £3,900 additional properties since 2018 without additional budgetary provision. With a further 3</w:t>
      </w:r>
      <w:r w:rsidR="747F86B4" w:rsidRPr="6F9FB908">
        <w:rPr>
          <w:rFonts w:cs="Arial"/>
        </w:rPr>
        <w:t>,</w:t>
      </w:r>
      <w:r w:rsidR="20904E7A" w:rsidRPr="6F9FB908">
        <w:rPr>
          <w:rFonts w:cs="Arial"/>
        </w:rPr>
        <w:t>000</w:t>
      </w:r>
      <w:r w:rsidR="676E6917" w:rsidRPr="6F9FB908">
        <w:rPr>
          <w:rFonts w:cs="Arial"/>
        </w:rPr>
        <w:t xml:space="preserve"> new dwellings estimated over the MTFP </w:t>
      </w:r>
      <w:r w:rsidR="70D9BA13" w:rsidRPr="6F9FB908">
        <w:rPr>
          <w:rFonts w:cs="Arial"/>
        </w:rPr>
        <w:t>period</w:t>
      </w:r>
      <w:r w:rsidR="676E6917" w:rsidRPr="6F9FB908">
        <w:rPr>
          <w:rFonts w:cs="Arial"/>
        </w:rPr>
        <w:t xml:space="preserve"> there will be a need to include another waste crew and vehicle</w:t>
      </w:r>
      <w:r w:rsidR="7EDE6804" w:rsidRPr="6F9FB908">
        <w:rPr>
          <w:rFonts w:cs="Arial"/>
        </w:rPr>
        <w:t xml:space="preserve"> at some point</w:t>
      </w:r>
      <w:r w:rsidR="4B1BA645" w:rsidRPr="6F9FB908">
        <w:rPr>
          <w:rFonts w:cs="Arial"/>
        </w:rPr>
        <w:t>.</w:t>
      </w:r>
    </w:p>
    <w:p w14:paraId="081EF726" w14:textId="1E9C59D4" w:rsidR="64688DE5" w:rsidRDefault="64688DE5" w:rsidP="64688DE5">
      <w:pPr>
        <w:pStyle w:val="ListParagraph"/>
        <w:tabs>
          <w:tab w:val="left" w:pos="540"/>
        </w:tabs>
        <w:ind w:left="0" w:right="386"/>
        <w:rPr>
          <w:rFonts w:cs="Arial"/>
          <w:b/>
          <w:bCs/>
          <w:highlight w:val="yellow"/>
        </w:rPr>
      </w:pPr>
    </w:p>
    <w:p w14:paraId="128EA4A3" w14:textId="66A6B40C" w:rsidR="005A3480" w:rsidRPr="00B96FC0" w:rsidRDefault="00B976BC" w:rsidP="00844457">
      <w:pPr>
        <w:pStyle w:val="ListParagraph"/>
        <w:tabs>
          <w:tab w:val="left" w:pos="540"/>
        </w:tabs>
        <w:ind w:left="0" w:right="386"/>
        <w:rPr>
          <w:rFonts w:cs="Arial"/>
          <w:b/>
        </w:rPr>
      </w:pPr>
      <w:r w:rsidRPr="1EDB5DC6">
        <w:rPr>
          <w:rFonts w:cs="Arial"/>
          <w:b/>
        </w:rPr>
        <w:t>New</w:t>
      </w:r>
      <w:r w:rsidR="00FE28D3" w:rsidRPr="1EDB5DC6">
        <w:rPr>
          <w:rFonts w:cs="Arial"/>
          <w:b/>
        </w:rPr>
        <w:t xml:space="preserve"> Expenditure</w:t>
      </w:r>
    </w:p>
    <w:p w14:paraId="054EC87A" w14:textId="77777777" w:rsidR="00B976BC" w:rsidRPr="00B96FC0" w:rsidRDefault="00B976BC" w:rsidP="00844457">
      <w:pPr>
        <w:pStyle w:val="ListParagraph"/>
        <w:tabs>
          <w:tab w:val="left" w:pos="540"/>
        </w:tabs>
        <w:ind w:left="0" w:right="386"/>
        <w:rPr>
          <w:rFonts w:cs="Arial"/>
          <w:b/>
        </w:rPr>
      </w:pPr>
    </w:p>
    <w:p w14:paraId="3DA62CF4" w14:textId="43C7E578" w:rsidR="33671715" w:rsidRDefault="6346A442" w:rsidP="009046B9">
      <w:pPr>
        <w:pStyle w:val="ListParagraph"/>
        <w:numPr>
          <w:ilvl w:val="0"/>
          <w:numId w:val="45"/>
        </w:numPr>
        <w:ind w:left="567" w:right="386" w:hanging="567"/>
        <w:rPr>
          <w:rFonts w:cs="Arial"/>
        </w:rPr>
      </w:pPr>
      <w:r w:rsidRPr="6F9FB908">
        <w:rPr>
          <w:rFonts w:cs="Arial"/>
        </w:rPr>
        <w:t xml:space="preserve">New Expenditure where the </w:t>
      </w:r>
      <w:r w:rsidR="42A1DEE0" w:rsidRPr="6F9FB908">
        <w:rPr>
          <w:rFonts w:cs="Arial"/>
        </w:rPr>
        <w:t>Council</w:t>
      </w:r>
      <w:r w:rsidRPr="6F9FB908">
        <w:rPr>
          <w:rFonts w:cs="Arial"/>
        </w:rPr>
        <w:t xml:space="preserve"> ha</w:t>
      </w:r>
      <w:r w:rsidR="5B93E92B" w:rsidRPr="6F9FB908">
        <w:rPr>
          <w:rFonts w:cs="Arial"/>
        </w:rPr>
        <w:t>s</w:t>
      </w:r>
      <w:r w:rsidRPr="6F9FB908">
        <w:rPr>
          <w:rFonts w:cs="Arial"/>
        </w:rPr>
        <w:t xml:space="preserve"> </w:t>
      </w:r>
      <w:r w:rsidR="783D25A7" w:rsidRPr="6F9FB908">
        <w:rPr>
          <w:rFonts w:cs="Arial"/>
        </w:rPr>
        <w:t xml:space="preserve">a </w:t>
      </w:r>
      <w:r w:rsidRPr="6F9FB908">
        <w:rPr>
          <w:rFonts w:cs="Arial"/>
        </w:rPr>
        <w:t xml:space="preserve">choice </w:t>
      </w:r>
      <w:proofErr w:type="gramStart"/>
      <w:r w:rsidRPr="6F9FB908">
        <w:rPr>
          <w:rFonts w:cs="Arial"/>
        </w:rPr>
        <w:t>whether or not</w:t>
      </w:r>
      <w:proofErr w:type="gramEnd"/>
      <w:r w:rsidRPr="6F9FB908">
        <w:rPr>
          <w:rFonts w:cs="Arial"/>
        </w:rPr>
        <w:t xml:space="preserve"> to undertake is estimated at around £</w:t>
      </w:r>
      <w:r w:rsidR="1F2E0D8E" w:rsidRPr="6F9FB908">
        <w:rPr>
          <w:rFonts w:cs="Arial"/>
        </w:rPr>
        <w:t>300k per annum.</w:t>
      </w:r>
      <w:r w:rsidRPr="6F9FB908">
        <w:rPr>
          <w:rFonts w:cs="Arial"/>
        </w:rPr>
        <w:t xml:space="preserve"> </w:t>
      </w:r>
      <w:r w:rsidR="006734EF">
        <w:rPr>
          <w:rFonts w:cs="Arial"/>
        </w:rPr>
        <w:t xml:space="preserve">This reflects areas which will be of benefit to the </w:t>
      </w:r>
      <w:proofErr w:type="gramStart"/>
      <w:r w:rsidR="006734EF">
        <w:rPr>
          <w:rFonts w:cs="Arial"/>
        </w:rPr>
        <w:t>general public</w:t>
      </w:r>
      <w:proofErr w:type="gramEnd"/>
      <w:r w:rsidR="006734EF">
        <w:rPr>
          <w:rFonts w:cs="Arial"/>
        </w:rPr>
        <w:t xml:space="preserve"> who wish to see core council services delivered well.  </w:t>
      </w:r>
      <w:r w:rsidRPr="6F9FB908">
        <w:rPr>
          <w:rFonts w:cs="Arial"/>
        </w:rPr>
        <w:t xml:space="preserve">The most </w:t>
      </w:r>
      <w:r w:rsidR="360984E5" w:rsidRPr="6F9FB908">
        <w:rPr>
          <w:rFonts w:cs="Arial"/>
        </w:rPr>
        <w:t>significant</w:t>
      </w:r>
      <w:r w:rsidRPr="6F9FB908">
        <w:rPr>
          <w:rFonts w:cs="Arial"/>
        </w:rPr>
        <w:t xml:space="preserve"> </w:t>
      </w:r>
      <w:proofErr w:type="gramStart"/>
      <w:r w:rsidRPr="6F9FB908">
        <w:rPr>
          <w:rFonts w:cs="Arial"/>
        </w:rPr>
        <w:t>includes :</w:t>
      </w:r>
      <w:proofErr w:type="gramEnd"/>
    </w:p>
    <w:p w14:paraId="48B1AF67" w14:textId="4DCDC0F6" w:rsidR="462CD69D" w:rsidRDefault="462CD69D" w:rsidP="1EDB5DC6">
      <w:pPr>
        <w:pStyle w:val="ListParagraph"/>
        <w:ind w:right="386" w:hanging="720"/>
        <w:rPr>
          <w:rFonts w:cs="Arial"/>
          <w:highlight w:val="yellow"/>
        </w:rPr>
      </w:pPr>
    </w:p>
    <w:p w14:paraId="76F36D05" w14:textId="1EE2AA4B" w:rsidR="08F3E57D" w:rsidRDefault="08F3E57D" w:rsidP="009046B9">
      <w:pPr>
        <w:pStyle w:val="ListParagraph"/>
        <w:numPr>
          <w:ilvl w:val="0"/>
          <w:numId w:val="36"/>
        </w:numPr>
        <w:ind w:right="386"/>
        <w:rPr>
          <w:rFonts w:cs="Arial"/>
        </w:rPr>
      </w:pPr>
      <w:r w:rsidRPr="38F2D1D2">
        <w:rPr>
          <w:rFonts w:cs="Arial"/>
          <w:b/>
          <w:bCs/>
        </w:rPr>
        <w:t xml:space="preserve">Reversal of reduction to grassed areas in parks - £36k - </w:t>
      </w:r>
      <w:r w:rsidRPr="38F2D1D2">
        <w:rPr>
          <w:rFonts w:cs="Arial"/>
        </w:rPr>
        <w:t xml:space="preserve">This </w:t>
      </w:r>
      <w:r w:rsidR="716B49FD" w:rsidRPr="38F2D1D2">
        <w:rPr>
          <w:rFonts w:cs="Arial"/>
        </w:rPr>
        <w:t>reverses the saving made in 2024-25 for the cutting of grass in parks</w:t>
      </w:r>
      <w:r w:rsidR="18EEF831" w:rsidRPr="38F2D1D2">
        <w:rPr>
          <w:rFonts w:cs="Arial"/>
        </w:rPr>
        <w:t xml:space="preserve"> from 5 cuts back to 8 cuts per year. </w:t>
      </w:r>
    </w:p>
    <w:p w14:paraId="421159ED" w14:textId="26C8761A" w:rsidR="716B49FD" w:rsidRDefault="716B49FD" w:rsidP="009046B9">
      <w:pPr>
        <w:pStyle w:val="ListParagraph"/>
        <w:numPr>
          <w:ilvl w:val="0"/>
          <w:numId w:val="36"/>
        </w:numPr>
        <w:ind w:left="1353" w:right="386" w:hanging="426"/>
        <w:rPr>
          <w:rFonts w:cs="Arial"/>
        </w:rPr>
      </w:pPr>
      <w:r w:rsidRPr="38F2D1D2">
        <w:rPr>
          <w:rFonts w:cs="Arial"/>
          <w:b/>
          <w:bCs/>
        </w:rPr>
        <w:t xml:space="preserve">Enhanced litter pick </w:t>
      </w:r>
      <w:r w:rsidR="27DDA3DF" w:rsidRPr="38F2D1D2">
        <w:rPr>
          <w:rFonts w:cs="Arial"/>
          <w:b/>
          <w:bCs/>
        </w:rPr>
        <w:t>£30k per annum –</w:t>
      </w:r>
      <w:r w:rsidR="27DDA3DF" w:rsidRPr="38F2D1D2">
        <w:rPr>
          <w:rFonts w:cs="Arial"/>
        </w:rPr>
        <w:t xml:space="preserve"> This provides for additional litter picking from Friday to Monday </w:t>
      </w:r>
      <w:r w:rsidR="5492E1F8" w:rsidRPr="1EDB5DC6">
        <w:rPr>
          <w:rFonts w:cs="Arial"/>
        </w:rPr>
        <w:t>in</w:t>
      </w:r>
      <w:r w:rsidR="4626806D" w:rsidRPr="38F2D1D2">
        <w:rPr>
          <w:rFonts w:cs="Arial"/>
        </w:rPr>
        <w:t xml:space="preserve"> the summer months when littering is more prevalent. </w:t>
      </w:r>
    </w:p>
    <w:p w14:paraId="14464E70" w14:textId="48617255" w:rsidR="6BF54A86" w:rsidRDefault="6BF54A86" w:rsidP="009046B9">
      <w:pPr>
        <w:pStyle w:val="ListParagraph"/>
        <w:numPr>
          <w:ilvl w:val="0"/>
          <w:numId w:val="36"/>
        </w:numPr>
        <w:ind w:left="1353" w:right="386" w:hanging="426"/>
        <w:rPr>
          <w:rFonts w:cs="Arial"/>
        </w:rPr>
      </w:pPr>
      <w:r w:rsidRPr="38F2D1D2">
        <w:rPr>
          <w:rFonts w:cs="Arial"/>
          <w:b/>
          <w:bCs/>
        </w:rPr>
        <w:t xml:space="preserve">Website Management - £79k per annum </w:t>
      </w:r>
      <w:r w:rsidRPr="38F2D1D2">
        <w:rPr>
          <w:rFonts w:cs="Arial"/>
        </w:rPr>
        <w:t xml:space="preserve">– 1 </w:t>
      </w:r>
      <w:proofErr w:type="spellStart"/>
      <w:r w:rsidRPr="38F2D1D2">
        <w:rPr>
          <w:rFonts w:cs="Arial"/>
        </w:rPr>
        <w:t>fte</w:t>
      </w:r>
      <w:proofErr w:type="spellEnd"/>
      <w:r w:rsidRPr="38F2D1D2">
        <w:rPr>
          <w:rFonts w:cs="Arial"/>
        </w:rPr>
        <w:t xml:space="preserve"> plus </w:t>
      </w:r>
      <w:r w:rsidR="7668BE89" w:rsidRPr="38F2D1D2">
        <w:rPr>
          <w:rFonts w:cs="Arial"/>
        </w:rPr>
        <w:t>associated</w:t>
      </w:r>
      <w:r w:rsidRPr="38F2D1D2">
        <w:rPr>
          <w:rFonts w:cs="Arial"/>
        </w:rPr>
        <w:t xml:space="preserve"> costs to cover website </w:t>
      </w:r>
      <w:proofErr w:type="gramStart"/>
      <w:r w:rsidRPr="38F2D1D2">
        <w:rPr>
          <w:rFonts w:cs="Arial"/>
        </w:rPr>
        <w:t>development</w:t>
      </w:r>
      <w:proofErr w:type="gramEnd"/>
    </w:p>
    <w:p w14:paraId="3D935750" w14:textId="0FB833B4" w:rsidR="79CB915A" w:rsidRDefault="79CB915A" w:rsidP="009046B9">
      <w:pPr>
        <w:pStyle w:val="ListParagraph"/>
        <w:numPr>
          <w:ilvl w:val="0"/>
          <w:numId w:val="36"/>
        </w:numPr>
        <w:ind w:left="1353" w:right="386" w:hanging="426"/>
        <w:rPr>
          <w:rFonts w:cs="Arial"/>
        </w:rPr>
      </w:pPr>
      <w:r w:rsidRPr="38F2D1D2">
        <w:rPr>
          <w:rFonts w:cs="Arial"/>
          <w:b/>
          <w:bCs/>
        </w:rPr>
        <w:t>Procurement – £45k per annum</w:t>
      </w:r>
      <w:r w:rsidRPr="38F2D1D2">
        <w:rPr>
          <w:rFonts w:cs="Arial"/>
        </w:rPr>
        <w:t xml:space="preserve"> – 1 </w:t>
      </w:r>
      <w:proofErr w:type="spellStart"/>
      <w:r w:rsidRPr="38F2D1D2">
        <w:rPr>
          <w:rFonts w:cs="Arial"/>
        </w:rPr>
        <w:t>fte</w:t>
      </w:r>
      <w:proofErr w:type="spellEnd"/>
      <w:r w:rsidRPr="38F2D1D2">
        <w:rPr>
          <w:rFonts w:cs="Arial"/>
        </w:rPr>
        <w:t xml:space="preserve"> to provide resource to assist with the changes in procurement following the implementation of the </w:t>
      </w:r>
      <w:r w:rsidR="56B1B035" w:rsidRPr="38F2D1D2">
        <w:rPr>
          <w:rFonts w:cs="Arial"/>
        </w:rPr>
        <w:t>Procurement</w:t>
      </w:r>
      <w:r w:rsidRPr="38F2D1D2">
        <w:rPr>
          <w:rFonts w:cs="Arial"/>
        </w:rPr>
        <w:t xml:space="preserve"> Act </w:t>
      </w:r>
      <w:r w:rsidR="343F4006" w:rsidRPr="38F2D1D2">
        <w:rPr>
          <w:rFonts w:cs="Arial"/>
        </w:rPr>
        <w:t xml:space="preserve">2023 in </w:t>
      </w:r>
      <w:r w:rsidR="66586486" w:rsidRPr="38F2D1D2">
        <w:rPr>
          <w:rFonts w:cs="Arial"/>
        </w:rPr>
        <w:t>February</w:t>
      </w:r>
      <w:r w:rsidR="343F4006" w:rsidRPr="38F2D1D2">
        <w:rPr>
          <w:rFonts w:cs="Arial"/>
        </w:rPr>
        <w:t xml:space="preserve"> 2025. </w:t>
      </w:r>
    </w:p>
    <w:p w14:paraId="62BF1EB5" w14:textId="5468BA0F" w:rsidR="778A8ADD" w:rsidRDefault="778A8ADD" w:rsidP="009046B9">
      <w:pPr>
        <w:pStyle w:val="ListParagraph"/>
        <w:numPr>
          <w:ilvl w:val="0"/>
          <w:numId w:val="36"/>
        </w:numPr>
        <w:ind w:left="1353" w:right="386" w:hanging="426"/>
        <w:rPr>
          <w:rFonts w:cs="Arial"/>
        </w:rPr>
      </w:pPr>
      <w:r w:rsidRPr="38F2D1D2">
        <w:rPr>
          <w:rFonts w:cs="Arial"/>
          <w:b/>
          <w:bCs/>
        </w:rPr>
        <w:t>ODS client</w:t>
      </w:r>
      <w:r w:rsidR="675F31FA" w:rsidRPr="38F2D1D2">
        <w:rPr>
          <w:rFonts w:cs="Arial"/>
          <w:b/>
          <w:bCs/>
        </w:rPr>
        <w:t xml:space="preserve"> – £82k per annum </w:t>
      </w:r>
      <w:r w:rsidR="675F31FA" w:rsidRPr="38F2D1D2">
        <w:rPr>
          <w:rFonts w:cs="Arial"/>
        </w:rPr>
        <w:t xml:space="preserve">– removal of the saving agreed last year </w:t>
      </w:r>
      <w:r w:rsidR="00BD3150">
        <w:rPr>
          <w:rFonts w:cs="Arial"/>
        </w:rPr>
        <w:t xml:space="preserve">which diminished street cleaning </w:t>
      </w:r>
      <w:proofErr w:type="gramStart"/>
      <w:r w:rsidR="00BD3150">
        <w:rPr>
          <w:rFonts w:cs="Arial"/>
        </w:rPr>
        <w:t xml:space="preserve">resources, </w:t>
      </w:r>
      <w:r w:rsidR="45A80526" w:rsidRPr="38F2D1D2">
        <w:rPr>
          <w:rFonts w:cs="Arial"/>
        </w:rPr>
        <w:t xml:space="preserve"> and</w:t>
      </w:r>
      <w:proofErr w:type="gramEnd"/>
      <w:r w:rsidR="45A80526" w:rsidRPr="38F2D1D2">
        <w:rPr>
          <w:rFonts w:cs="Arial"/>
        </w:rPr>
        <w:t xml:space="preserve"> </w:t>
      </w:r>
      <w:r w:rsidR="00BD3150">
        <w:rPr>
          <w:rFonts w:cs="Arial"/>
        </w:rPr>
        <w:t xml:space="preserve">provision of </w:t>
      </w:r>
      <w:r w:rsidR="2D64FC93" w:rsidRPr="38F2D1D2">
        <w:rPr>
          <w:rFonts w:cs="Arial"/>
        </w:rPr>
        <w:t xml:space="preserve">additional resource throughout summer, </w:t>
      </w:r>
      <w:r w:rsidR="2BBB60EE" w:rsidRPr="1EDB5DC6">
        <w:rPr>
          <w:rFonts w:cs="Arial"/>
        </w:rPr>
        <w:t>Christ</w:t>
      </w:r>
      <w:r w:rsidR="29E17323" w:rsidRPr="1EDB5DC6">
        <w:rPr>
          <w:rFonts w:cs="Arial"/>
        </w:rPr>
        <w:t>mas</w:t>
      </w:r>
      <w:r w:rsidR="2D64FC93" w:rsidRPr="38F2D1D2">
        <w:rPr>
          <w:rFonts w:cs="Arial"/>
        </w:rPr>
        <w:t xml:space="preserve"> period and </w:t>
      </w:r>
      <w:r w:rsidR="2D4361D4" w:rsidRPr="1EDB5DC6">
        <w:rPr>
          <w:rFonts w:cs="Arial"/>
        </w:rPr>
        <w:t>weekends</w:t>
      </w:r>
      <w:r w:rsidR="2D64FC93" w:rsidRPr="38F2D1D2">
        <w:rPr>
          <w:rFonts w:cs="Arial"/>
        </w:rPr>
        <w:t xml:space="preserve"> to be </w:t>
      </w:r>
      <w:r w:rsidR="25E924B4" w:rsidRPr="38F2D1D2">
        <w:rPr>
          <w:rFonts w:cs="Arial"/>
        </w:rPr>
        <w:t xml:space="preserve">deployed in city </w:t>
      </w:r>
      <w:r w:rsidR="1A3B8453" w:rsidRPr="1EDB5DC6">
        <w:rPr>
          <w:rFonts w:cs="Arial"/>
        </w:rPr>
        <w:t>centre</w:t>
      </w:r>
      <w:r w:rsidR="25E924B4" w:rsidRPr="38F2D1D2">
        <w:rPr>
          <w:rFonts w:cs="Arial"/>
        </w:rPr>
        <w:t xml:space="preserve"> and busiest suburban centres. </w:t>
      </w:r>
      <w:r w:rsidR="675F31FA" w:rsidRPr="38F2D1D2">
        <w:rPr>
          <w:rFonts w:cs="Arial"/>
        </w:rPr>
        <w:t xml:space="preserve"> </w:t>
      </w:r>
    </w:p>
    <w:p w14:paraId="35B99B4A" w14:textId="03F05602" w:rsidR="02A5F1F4" w:rsidRDefault="02A5F1F4" w:rsidP="009046B9">
      <w:pPr>
        <w:pStyle w:val="ListParagraph"/>
        <w:numPr>
          <w:ilvl w:val="0"/>
          <w:numId w:val="36"/>
        </w:numPr>
        <w:ind w:left="1353" w:right="386" w:hanging="426"/>
        <w:rPr>
          <w:rFonts w:cs="Arial"/>
        </w:rPr>
      </w:pPr>
      <w:r w:rsidRPr="1EDB5DC6">
        <w:rPr>
          <w:rFonts w:cs="Arial"/>
          <w:b/>
          <w:bCs/>
        </w:rPr>
        <w:t xml:space="preserve">ODS client - £32k per annum </w:t>
      </w:r>
      <w:r w:rsidRPr="1EDB5DC6">
        <w:rPr>
          <w:rFonts w:cs="Arial"/>
        </w:rPr>
        <w:t xml:space="preserve">– This </w:t>
      </w:r>
      <w:r w:rsidR="5DA5D122" w:rsidRPr="1EDB5DC6">
        <w:rPr>
          <w:rFonts w:cs="Arial"/>
        </w:rPr>
        <w:t>additional</w:t>
      </w:r>
      <w:r w:rsidRPr="1EDB5DC6">
        <w:rPr>
          <w:rFonts w:cs="Arial"/>
        </w:rPr>
        <w:t xml:space="preserve"> budgetary provision will fund a third cut of grass verges</w:t>
      </w:r>
      <w:r w:rsidR="00BD3150">
        <w:rPr>
          <w:rFonts w:cs="Arial"/>
        </w:rPr>
        <w:t>, after the County Council reduced provision in this area.</w:t>
      </w:r>
    </w:p>
    <w:p w14:paraId="11235E00" w14:textId="44D8067B" w:rsidR="2E4002BD" w:rsidRDefault="2E4002BD" w:rsidP="009046B9">
      <w:pPr>
        <w:pStyle w:val="ListParagraph"/>
        <w:numPr>
          <w:ilvl w:val="0"/>
          <w:numId w:val="36"/>
        </w:numPr>
        <w:ind w:left="1353" w:right="386" w:hanging="426"/>
        <w:rPr>
          <w:rFonts w:cs="Arial"/>
        </w:rPr>
      </w:pPr>
      <w:r w:rsidRPr="1EDB5DC6">
        <w:rPr>
          <w:rFonts w:cs="Arial"/>
          <w:b/>
          <w:bCs/>
        </w:rPr>
        <w:t xml:space="preserve">Business support to work outside of the city </w:t>
      </w:r>
      <w:proofErr w:type="gramStart"/>
      <w:r w:rsidRPr="1EDB5DC6">
        <w:rPr>
          <w:rFonts w:cs="Arial"/>
          <w:b/>
          <w:bCs/>
        </w:rPr>
        <w:t>centre  -</w:t>
      </w:r>
      <w:proofErr w:type="gramEnd"/>
      <w:r w:rsidRPr="1EDB5DC6">
        <w:rPr>
          <w:rFonts w:cs="Arial"/>
          <w:b/>
          <w:bCs/>
        </w:rPr>
        <w:t xml:space="preserve"> £75k cost </w:t>
      </w:r>
      <w:r w:rsidR="758119DA" w:rsidRPr="1EDB5DC6">
        <w:rPr>
          <w:rFonts w:cs="Arial"/>
          <w:b/>
          <w:bCs/>
        </w:rPr>
        <w:t xml:space="preserve">for 2 </w:t>
      </w:r>
      <w:r w:rsidR="681399AF" w:rsidRPr="1EDB5DC6">
        <w:rPr>
          <w:rFonts w:cs="Arial"/>
          <w:b/>
          <w:bCs/>
        </w:rPr>
        <w:t>years.</w:t>
      </w:r>
      <w:r w:rsidR="681399AF" w:rsidRPr="1EDB5DC6">
        <w:rPr>
          <w:rFonts w:cs="Arial"/>
        </w:rPr>
        <w:t xml:space="preserve"> This</w:t>
      </w:r>
      <w:r w:rsidR="64C2F20F" w:rsidRPr="1EDB5DC6">
        <w:rPr>
          <w:rFonts w:cs="Arial"/>
        </w:rPr>
        <w:t xml:space="preserve"> will provide business support in some of our </w:t>
      </w:r>
      <w:r w:rsidR="1D902E01" w:rsidRPr="1EDB5DC6">
        <w:rPr>
          <w:rFonts w:cs="Arial"/>
        </w:rPr>
        <w:t>localities</w:t>
      </w:r>
      <w:r w:rsidR="64C2F20F" w:rsidRPr="1EDB5DC6">
        <w:rPr>
          <w:rFonts w:cs="Arial"/>
        </w:rPr>
        <w:t xml:space="preserve"> such as Cowley Road to support them in identifying issues, linking them with other </w:t>
      </w:r>
      <w:r w:rsidR="38C148D4" w:rsidRPr="1EDB5DC6">
        <w:rPr>
          <w:rFonts w:cs="Arial"/>
        </w:rPr>
        <w:t>organisations</w:t>
      </w:r>
      <w:r w:rsidR="46488C46" w:rsidRPr="1EDB5DC6">
        <w:rPr>
          <w:rFonts w:cs="Arial"/>
        </w:rPr>
        <w:t xml:space="preserve"> and hel</w:t>
      </w:r>
      <w:r w:rsidR="40ADA4A2" w:rsidRPr="1EDB5DC6">
        <w:rPr>
          <w:rFonts w:cs="Arial"/>
        </w:rPr>
        <w:t>ping</w:t>
      </w:r>
      <w:r w:rsidR="46488C46" w:rsidRPr="1EDB5DC6">
        <w:rPr>
          <w:rFonts w:cs="Arial"/>
        </w:rPr>
        <w:t xml:space="preserve"> them to establish an ongoing forum that they will manage themselves. </w:t>
      </w:r>
    </w:p>
    <w:p w14:paraId="25C7DE47" w14:textId="3875F98B" w:rsidR="1272752D" w:rsidRDefault="1272752D" w:rsidP="009046B9">
      <w:pPr>
        <w:pStyle w:val="ListParagraph"/>
        <w:numPr>
          <w:ilvl w:val="0"/>
          <w:numId w:val="36"/>
        </w:numPr>
        <w:ind w:left="1353" w:right="386" w:hanging="426"/>
        <w:rPr>
          <w:rFonts w:cs="Arial"/>
        </w:rPr>
      </w:pPr>
      <w:r w:rsidRPr="6F9FB908">
        <w:rPr>
          <w:rFonts w:cs="Arial"/>
          <w:b/>
          <w:bCs/>
        </w:rPr>
        <w:lastRenderedPageBreak/>
        <w:t xml:space="preserve">Economic Strategy review - one off £50k - </w:t>
      </w:r>
      <w:r w:rsidR="596177F2" w:rsidRPr="6F9FB908">
        <w:rPr>
          <w:rFonts w:cs="Arial"/>
        </w:rPr>
        <w:t>it will be necessary for us to review our Economic Strategy over the MTFS. The strategy is 2 years old now and will become dated over the MTFS period.</w:t>
      </w:r>
    </w:p>
    <w:p w14:paraId="43B386F5" w14:textId="77777777" w:rsidR="007444C0" w:rsidRPr="00B96FC0" w:rsidRDefault="007444C0" w:rsidP="007444C0">
      <w:pPr>
        <w:pStyle w:val="ListParagraph"/>
        <w:ind w:left="928" w:right="386"/>
        <w:rPr>
          <w:rFonts w:cs="Arial"/>
          <w:highlight w:val="yellow"/>
        </w:rPr>
      </w:pPr>
    </w:p>
    <w:p w14:paraId="60528929" w14:textId="5C324DF7" w:rsidR="005A53FB" w:rsidRPr="00B96FC0" w:rsidRDefault="0000468F" w:rsidP="009046B9">
      <w:pPr>
        <w:pStyle w:val="ListParagraph"/>
        <w:numPr>
          <w:ilvl w:val="0"/>
          <w:numId w:val="46"/>
        </w:numPr>
        <w:ind w:left="426" w:right="386" w:hanging="426"/>
      </w:pPr>
      <w:r>
        <w:t xml:space="preserve">The </w:t>
      </w:r>
      <w:r w:rsidR="009431D6">
        <w:t xml:space="preserve">Council’s </w:t>
      </w:r>
      <w:r w:rsidR="00E90B63">
        <w:t>G</w:t>
      </w:r>
      <w:r w:rsidR="009431D6">
        <w:t xml:space="preserve">eneral </w:t>
      </w:r>
      <w:r w:rsidR="00E90B63">
        <w:t>F</w:t>
      </w:r>
      <w:r w:rsidR="009431D6">
        <w:t>und Budget for Consultation is set out in Appendi</w:t>
      </w:r>
      <w:r w:rsidR="00A83682">
        <w:t>ces</w:t>
      </w:r>
      <w:r w:rsidR="009431D6">
        <w:t xml:space="preserve"> 1</w:t>
      </w:r>
      <w:r w:rsidR="00B43878">
        <w:t>, 2 and 3</w:t>
      </w:r>
      <w:r w:rsidR="005A4481">
        <w:t xml:space="preserve"> </w:t>
      </w:r>
      <w:r w:rsidR="009E7E43">
        <w:t xml:space="preserve">attached </w:t>
      </w:r>
      <w:r w:rsidR="005A4481">
        <w:t xml:space="preserve">and </w:t>
      </w:r>
      <w:r w:rsidR="006017B0">
        <w:t>summarised</w:t>
      </w:r>
      <w:r w:rsidR="009E7E43">
        <w:t xml:space="preserve"> </w:t>
      </w:r>
      <w:r w:rsidR="00E462AA">
        <w:t>below:</w:t>
      </w:r>
    </w:p>
    <w:p w14:paraId="5964D7D0" w14:textId="77777777" w:rsidR="005A53FB" w:rsidRPr="00B96FC0" w:rsidRDefault="005A53FB" w:rsidP="005A53FB">
      <w:pPr>
        <w:ind w:right="386"/>
        <w:rPr>
          <w:highlight w:val="yellow"/>
        </w:rPr>
      </w:pPr>
    </w:p>
    <w:p w14:paraId="0D924F43" w14:textId="7DC1DB0F" w:rsidR="0087246B" w:rsidRDefault="0087246B" w:rsidP="0087246B">
      <w:pPr>
        <w:pStyle w:val="ListParagraph"/>
        <w:ind w:right="386" w:hanging="720"/>
        <w:rPr>
          <w:b/>
        </w:rPr>
      </w:pPr>
      <w:r w:rsidRPr="00474F2B">
        <w:rPr>
          <w:b/>
        </w:rPr>
        <w:t xml:space="preserve">Table </w:t>
      </w:r>
      <w:r w:rsidR="00ED2696" w:rsidRPr="00474F2B">
        <w:rPr>
          <w:b/>
        </w:rPr>
        <w:t>5</w:t>
      </w:r>
      <w:r w:rsidRPr="00474F2B">
        <w:rPr>
          <w:b/>
        </w:rPr>
        <w:t xml:space="preserve"> – Medium Term Financial Strategy 202</w:t>
      </w:r>
      <w:r w:rsidR="00474F2B" w:rsidRPr="00474F2B">
        <w:rPr>
          <w:b/>
        </w:rPr>
        <w:t>5</w:t>
      </w:r>
      <w:r w:rsidRPr="00474F2B">
        <w:rPr>
          <w:b/>
        </w:rPr>
        <w:t>-2</w:t>
      </w:r>
      <w:r w:rsidR="00474F2B" w:rsidRPr="00474F2B">
        <w:rPr>
          <w:b/>
        </w:rPr>
        <w:t>6</w:t>
      </w:r>
      <w:r w:rsidRPr="00474F2B">
        <w:rPr>
          <w:b/>
        </w:rPr>
        <w:t xml:space="preserve"> – 202</w:t>
      </w:r>
      <w:r w:rsidR="005A53FB" w:rsidRPr="00474F2B">
        <w:rPr>
          <w:b/>
        </w:rPr>
        <w:t>8</w:t>
      </w:r>
      <w:r w:rsidRPr="00474F2B">
        <w:rPr>
          <w:b/>
        </w:rPr>
        <w:t>-2</w:t>
      </w:r>
      <w:r w:rsidR="005A53FB" w:rsidRPr="00474F2B">
        <w:rPr>
          <w:b/>
        </w:rPr>
        <w:t>9</w:t>
      </w:r>
    </w:p>
    <w:p w14:paraId="529FCB1E" w14:textId="77777777" w:rsidR="00F42D9C" w:rsidRDefault="00F42D9C" w:rsidP="0087246B">
      <w:pPr>
        <w:pStyle w:val="ListParagraph"/>
        <w:ind w:right="386" w:hanging="720"/>
        <w:rPr>
          <w:b/>
        </w:rPr>
      </w:pPr>
    </w:p>
    <w:p w14:paraId="53CC9D73" w14:textId="1925F71E" w:rsidR="00F42D9C" w:rsidRPr="00474F2B" w:rsidRDefault="003817A1" w:rsidP="0087246B">
      <w:pPr>
        <w:pStyle w:val="ListParagraph"/>
        <w:ind w:right="386" w:hanging="720"/>
        <w:rPr>
          <w:b/>
        </w:rPr>
      </w:pPr>
      <w:r w:rsidRPr="003817A1">
        <w:rPr>
          <w:noProof/>
        </w:rPr>
        <w:drawing>
          <wp:inline distT="0" distB="0" distL="0" distR="0" wp14:anchorId="77564A52" wp14:editId="4CA7F27F">
            <wp:extent cx="6022975" cy="4618355"/>
            <wp:effectExtent l="0" t="0" r="0" b="0"/>
            <wp:docPr id="1965332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2975" cy="4618355"/>
                    </a:xfrm>
                    <a:prstGeom prst="rect">
                      <a:avLst/>
                    </a:prstGeom>
                    <a:noFill/>
                    <a:ln>
                      <a:noFill/>
                    </a:ln>
                  </pic:spPr>
                </pic:pic>
              </a:graphicData>
            </a:graphic>
          </wp:inline>
        </w:drawing>
      </w:r>
    </w:p>
    <w:p w14:paraId="5FE2A48A" w14:textId="14CF32E7" w:rsidR="000C178A" w:rsidRPr="00474F2B" w:rsidRDefault="004347E4" w:rsidP="004347E4">
      <w:pPr>
        <w:tabs>
          <w:tab w:val="left" w:pos="2850"/>
        </w:tabs>
      </w:pPr>
      <w:r w:rsidRPr="00474F2B">
        <w:tab/>
      </w:r>
    </w:p>
    <w:p w14:paraId="23D63830" w14:textId="0B5F1D1C" w:rsidR="000C178A" w:rsidRPr="00474F2B" w:rsidRDefault="000C178A" w:rsidP="0087246B">
      <w:pPr>
        <w:pStyle w:val="ListParagraph"/>
        <w:ind w:right="386" w:hanging="720"/>
        <w:rPr>
          <w:b/>
        </w:rPr>
      </w:pPr>
    </w:p>
    <w:p w14:paraId="4F3E5838" w14:textId="77777777" w:rsidR="009E67EF" w:rsidRPr="00474F2B" w:rsidRDefault="009E67EF" w:rsidP="004D4795">
      <w:pPr>
        <w:pStyle w:val="ListParagraph"/>
        <w:ind w:right="386"/>
        <w:rPr>
          <w:b/>
        </w:rPr>
      </w:pPr>
      <w:r w:rsidRPr="00474F2B">
        <w:rPr>
          <w:b/>
        </w:rPr>
        <w:t>Key</w:t>
      </w:r>
      <w:r w:rsidR="007444C0" w:rsidRPr="00474F2B">
        <w:rPr>
          <w:b/>
        </w:rPr>
        <w:t>:</w:t>
      </w:r>
    </w:p>
    <w:p w14:paraId="25CB3AD5" w14:textId="77777777" w:rsidR="007444C0" w:rsidRPr="00474F2B" w:rsidRDefault="007444C0" w:rsidP="004D4795">
      <w:pPr>
        <w:pStyle w:val="ListParagraph"/>
        <w:ind w:right="386"/>
        <w:rPr>
          <w:b/>
        </w:rPr>
      </w:pPr>
    </w:p>
    <w:p w14:paraId="009CB2BB" w14:textId="77777777" w:rsidR="009E67EF" w:rsidRPr="00474F2B" w:rsidRDefault="009E67EF" w:rsidP="009046B9">
      <w:pPr>
        <w:numPr>
          <w:ilvl w:val="0"/>
          <w:numId w:val="5"/>
        </w:numPr>
        <w:ind w:left="993" w:right="386" w:hanging="284"/>
      </w:pPr>
      <w:r w:rsidRPr="00474F2B">
        <w:rPr>
          <w:b/>
        </w:rPr>
        <w:t xml:space="preserve">MRP </w:t>
      </w:r>
      <w:r w:rsidRPr="00474F2B">
        <w:t xml:space="preserve">– </w:t>
      </w:r>
      <w:r w:rsidRPr="00474F2B">
        <w:rPr>
          <w:b/>
        </w:rPr>
        <w:t>Minimum Revenue Provision</w:t>
      </w:r>
      <w:r w:rsidRPr="00474F2B">
        <w:t xml:space="preserve"> – A charge made to revenue in respect </w:t>
      </w:r>
      <w:r w:rsidR="00A57C7D" w:rsidRPr="00474F2B">
        <w:t xml:space="preserve">of </w:t>
      </w:r>
      <w:r w:rsidRPr="00474F2B">
        <w:t xml:space="preserve">the cost of borrowing to fund the </w:t>
      </w:r>
      <w:r w:rsidR="00662F6E" w:rsidRPr="00474F2B">
        <w:t>Capital Programme</w:t>
      </w:r>
      <w:r w:rsidRPr="00474F2B">
        <w:t>.</w:t>
      </w:r>
    </w:p>
    <w:p w14:paraId="5BB088CA" w14:textId="77777777" w:rsidR="000C178A" w:rsidRPr="00474F2B" w:rsidRDefault="000C178A" w:rsidP="000C178A">
      <w:pPr>
        <w:ind w:left="993" w:right="386"/>
      </w:pPr>
    </w:p>
    <w:p w14:paraId="16817000" w14:textId="77777777" w:rsidR="00847CF3" w:rsidRPr="00474F2B" w:rsidRDefault="00847CF3" w:rsidP="004D4795">
      <w:pPr>
        <w:ind w:right="386"/>
        <w:rPr>
          <w:b/>
        </w:rPr>
      </w:pPr>
    </w:p>
    <w:p w14:paraId="1E5CA873" w14:textId="77777777" w:rsidR="00673090" w:rsidRPr="00474F2B" w:rsidRDefault="00673090" w:rsidP="004D4795">
      <w:pPr>
        <w:ind w:right="386"/>
        <w:rPr>
          <w:b/>
        </w:rPr>
      </w:pPr>
      <w:r w:rsidRPr="00474F2B">
        <w:rPr>
          <w:b/>
        </w:rPr>
        <w:t>Use of Working Balances</w:t>
      </w:r>
      <w:r w:rsidR="002129B0" w:rsidRPr="00474F2B">
        <w:rPr>
          <w:b/>
        </w:rPr>
        <w:t xml:space="preserve"> and Transfers from Reserves</w:t>
      </w:r>
    </w:p>
    <w:p w14:paraId="63B712FA" w14:textId="77777777" w:rsidR="001567C0" w:rsidRPr="00474F2B" w:rsidRDefault="001567C0" w:rsidP="004D4795">
      <w:pPr>
        <w:ind w:right="386"/>
      </w:pPr>
    </w:p>
    <w:p w14:paraId="4E8ACFAD" w14:textId="5AC65C13" w:rsidR="008C2A6F" w:rsidRPr="00B96FC0" w:rsidRDefault="00927576" w:rsidP="009046B9">
      <w:pPr>
        <w:pStyle w:val="ListParagraph"/>
        <w:numPr>
          <w:ilvl w:val="0"/>
          <w:numId w:val="46"/>
        </w:numPr>
        <w:ind w:left="426" w:right="386" w:hanging="426"/>
      </w:pPr>
      <w:r>
        <w:t xml:space="preserve">The </w:t>
      </w:r>
      <w:r w:rsidR="66F9314E">
        <w:t>MTFP allows for</w:t>
      </w:r>
      <w:r w:rsidR="00E4383F">
        <w:t xml:space="preserve"> the use </w:t>
      </w:r>
      <w:r w:rsidR="000C178A">
        <w:t xml:space="preserve">of </w:t>
      </w:r>
      <w:r w:rsidR="66F9314E">
        <w:t>£</w:t>
      </w:r>
      <w:r w:rsidR="00474F2B">
        <w:t>5.3 million</w:t>
      </w:r>
      <w:r w:rsidR="66F9314E">
        <w:t xml:space="preserve"> </w:t>
      </w:r>
      <w:r w:rsidR="00F76BF5">
        <w:t xml:space="preserve">of reserves </w:t>
      </w:r>
      <w:r w:rsidR="00474F2B">
        <w:t>o</w:t>
      </w:r>
      <w:r w:rsidR="66F9314E">
        <w:t xml:space="preserve">ver the </w:t>
      </w:r>
      <w:proofErr w:type="gramStart"/>
      <w:r w:rsidR="66F9314E">
        <w:t>4</w:t>
      </w:r>
      <w:r w:rsidR="00F17FF3">
        <w:t xml:space="preserve"> year</w:t>
      </w:r>
      <w:proofErr w:type="gramEnd"/>
      <w:r w:rsidR="00F17FF3">
        <w:t xml:space="preserve"> </w:t>
      </w:r>
      <w:r w:rsidR="66F9314E">
        <w:t>period.</w:t>
      </w:r>
      <w:r w:rsidR="00F17FF3">
        <w:t xml:space="preserve"> </w:t>
      </w:r>
      <w:r w:rsidR="000C178A">
        <w:t>Other e</w:t>
      </w:r>
      <w:r>
        <w:t xml:space="preserve">armarked reserves </w:t>
      </w:r>
      <w:r w:rsidR="00E4383F">
        <w:t xml:space="preserve">that are not ring fenced at </w:t>
      </w:r>
      <w:r>
        <w:t>31-3-202</w:t>
      </w:r>
      <w:r w:rsidR="4979BC38">
        <w:t>4</w:t>
      </w:r>
      <w:r>
        <w:t xml:space="preserve"> st</w:t>
      </w:r>
      <w:r w:rsidR="00E4383F">
        <w:t xml:space="preserve">and </w:t>
      </w:r>
      <w:r>
        <w:t xml:space="preserve">at around </w:t>
      </w:r>
      <w:r w:rsidRPr="009174A4">
        <w:t>£</w:t>
      </w:r>
      <w:r w:rsidR="30B66E89" w:rsidRPr="009174A4">
        <w:t>20</w:t>
      </w:r>
      <w:r w:rsidR="00E4383F">
        <w:t xml:space="preserve"> </w:t>
      </w:r>
      <w:r>
        <w:t>million</w:t>
      </w:r>
      <w:r w:rsidR="00E4383F">
        <w:t>. In addition to these reserves there is another £3.6 million un</w:t>
      </w:r>
      <w:r w:rsidR="004C7821">
        <w:t>-</w:t>
      </w:r>
      <w:r w:rsidR="00E4383F">
        <w:t>ringfenced working balance.</w:t>
      </w:r>
      <w:r>
        <w:t xml:space="preserve"> </w:t>
      </w:r>
    </w:p>
    <w:p w14:paraId="554BB774" w14:textId="77777777" w:rsidR="00F314B8" w:rsidRPr="00B96FC0" w:rsidRDefault="00F314B8" w:rsidP="00180D1A">
      <w:pPr>
        <w:pStyle w:val="ListParagraph"/>
        <w:ind w:right="386"/>
        <w:rPr>
          <w:highlight w:val="yellow"/>
        </w:rPr>
      </w:pPr>
    </w:p>
    <w:p w14:paraId="54C9C2E5" w14:textId="77777777" w:rsidR="00601571" w:rsidRPr="00B96FC0" w:rsidRDefault="00601571" w:rsidP="00180D1A">
      <w:pPr>
        <w:tabs>
          <w:tab w:val="left" w:pos="630"/>
        </w:tabs>
        <w:ind w:right="386"/>
        <w:rPr>
          <w:b/>
        </w:rPr>
      </w:pPr>
      <w:r w:rsidRPr="3274C890">
        <w:rPr>
          <w:b/>
        </w:rPr>
        <w:t>Risk Implications</w:t>
      </w:r>
    </w:p>
    <w:p w14:paraId="5B46A3C1" w14:textId="77777777" w:rsidR="001567C0" w:rsidRPr="00B96FC0" w:rsidRDefault="001567C0" w:rsidP="00180D1A">
      <w:pPr>
        <w:ind w:right="386"/>
        <w:rPr>
          <w:b/>
        </w:rPr>
      </w:pPr>
    </w:p>
    <w:p w14:paraId="400517C7" w14:textId="77777777" w:rsidR="00227B6B" w:rsidRPr="00B96FC0" w:rsidRDefault="00227B6B" w:rsidP="009046B9">
      <w:pPr>
        <w:pStyle w:val="ListParagraph"/>
        <w:numPr>
          <w:ilvl w:val="0"/>
          <w:numId w:val="46"/>
        </w:numPr>
        <w:ind w:left="426" w:right="386" w:hanging="426"/>
        <w:rPr>
          <w:color w:val="000000" w:themeColor="text1"/>
          <w:sz w:val="22"/>
          <w:szCs w:val="22"/>
        </w:rPr>
      </w:pPr>
      <w:r w:rsidRPr="6F9FB908">
        <w:rPr>
          <w:color w:val="000000" w:themeColor="text1"/>
        </w:rPr>
        <w:lastRenderedPageBreak/>
        <w:t xml:space="preserve">The main risks to the </w:t>
      </w:r>
      <w:r w:rsidR="00494F15" w:rsidRPr="6F9FB908">
        <w:rPr>
          <w:color w:val="000000" w:themeColor="text1"/>
        </w:rPr>
        <w:t xml:space="preserve">balanced position </w:t>
      </w:r>
      <w:r w:rsidR="005F7D66" w:rsidRPr="6F9FB908">
        <w:rPr>
          <w:color w:val="000000" w:themeColor="text1"/>
        </w:rPr>
        <w:t>of</w:t>
      </w:r>
      <w:r w:rsidR="00494F15" w:rsidRPr="6F9FB908">
        <w:rPr>
          <w:color w:val="000000" w:themeColor="text1"/>
        </w:rPr>
        <w:t xml:space="preserve"> the </w:t>
      </w:r>
      <w:r w:rsidRPr="6F9FB908">
        <w:rPr>
          <w:color w:val="000000" w:themeColor="text1"/>
        </w:rPr>
        <w:t>General Fund consultation budget</w:t>
      </w:r>
      <w:r w:rsidR="00494F15" w:rsidRPr="6F9FB908">
        <w:rPr>
          <w:color w:val="000000" w:themeColor="text1"/>
        </w:rPr>
        <w:t xml:space="preserve"> </w:t>
      </w:r>
      <w:r w:rsidR="00FA2FF9" w:rsidRPr="6F9FB908">
        <w:rPr>
          <w:color w:val="000000" w:themeColor="text1"/>
        </w:rPr>
        <w:t xml:space="preserve">(Appendix </w:t>
      </w:r>
      <w:r w:rsidR="008C3B46" w:rsidRPr="6F9FB908">
        <w:rPr>
          <w:color w:val="000000" w:themeColor="text1"/>
        </w:rPr>
        <w:t>8</w:t>
      </w:r>
      <w:r w:rsidR="00FA2FF9" w:rsidRPr="6F9FB908">
        <w:rPr>
          <w:color w:val="000000" w:themeColor="text1"/>
        </w:rPr>
        <w:t>)</w:t>
      </w:r>
      <w:r w:rsidR="00EC42E6" w:rsidRPr="6F9FB908">
        <w:rPr>
          <w:color w:val="000000" w:themeColor="text1"/>
        </w:rPr>
        <w:t xml:space="preserve"> </w:t>
      </w:r>
      <w:r w:rsidR="00494F15" w:rsidRPr="6F9FB908">
        <w:rPr>
          <w:color w:val="000000" w:themeColor="text1"/>
        </w:rPr>
        <w:t>are</w:t>
      </w:r>
      <w:r w:rsidR="0052514C" w:rsidRPr="6F9FB908">
        <w:rPr>
          <w:color w:val="000000" w:themeColor="text1"/>
        </w:rPr>
        <w:t xml:space="preserve"> that</w:t>
      </w:r>
      <w:r w:rsidR="00494F15" w:rsidRPr="6F9FB908">
        <w:rPr>
          <w:color w:val="000000" w:themeColor="text1"/>
        </w:rPr>
        <w:t>:</w:t>
      </w:r>
    </w:p>
    <w:p w14:paraId="1E6E0004" w14:textId="77777777" w:rsidR="00C02E4C" w:rsidRPr="00B96FC0" w:rsidRDefault="00C02E4C" w:rsidP="00180D1A">
      <w:pPr>
        <w:pStyle w:val="ListParagraph"/>
        <w:ind w:right="386"/>
        <w:rPr>
          <w:color w:val="000000" w:themeColor="text1"/>
          <w:sz w:val="22"/>
          <w:szCs w:val="22"/>
        </w:rPr>
      </w:pPr>
    </w:p>
    <w:p w14:paraId="7D03614E" w14:textId="56707708" w:rsidR="001B52FD" w:rsidRPr="00B96FC0" w:rsidRDefault="001B52FD" w:rsidP="009046B9">
      <w:pPr>
        <w:numPr>
          <w:ilvl w:val="0"/>
          <w:numId w:val="15"/>
        </w:numPr>
        <w:ind w:left="1077" w:right="386" w:hanging="357"/>
        <w:rPr>
          <w:color w:val="000000" w:themeColor="text1"/>
        </w:rPr>
      </w:pPr>
      <w:r w:rsidRPr="6F9FB908">
        <w:rPr>
          <w:color w:val="000000" w:themeColor="text1"/>
        </w:rPr>
        <w:t xml:space="preserve">Provisional Finance </w:t>
      </w:r>
      <w:proofErr w:type="gramStart"/>
      <w:r w:rsidRPr="6F9FB908">
        <w:rPr>
          <w:color w:val="000000" w:themeColor="text1"/>
        </w:rPr>
        <w:t>Settlement  when</w:t>
      </w:r>
      <w:proofErr w:type="gramEnd"/>
      <w:r w:rsidRPr="6F9FB908">
        <w:rPr>
          <w:color w:val="000000" w:themeColor="text1"/>
        </w:rPr>
        <w:t xml:space="preserve"> announced in </w:t>
      </w:r>
      <w:r w:rsidR="00474F2B" w:rsidRPr="6F9FB908">
        <w:rPr>
          <w:color w:val="000000" w:themeColor="text1"/>
        </w:rPr>
        <w:t>December</w:t>
      </w:r>
      <w:r w:rsidR="74E8BC41" w:rsidRPr="6F9FB908">
        <w:rPr>
          <w:color w:val="000000" w:themeColor="text1"/>
        </w:rPr>
        <w:t xml:space="preserve"> is not as good as assumed </w:t>
      </w:r>
      <w:r w:rsidR="00474F2B" w:rsidRPr="6F9FB908">
        <w:rPr>
          <w:color w:val="000000" w:themeColor="text1"/>
        </w:rPr>
        <w:t>.</w:t>
      </w:r>
    </w:p>
    <w:p w14:paraId="05B8F4F6" w14:textId="31D22892" w:rsidR="00D21312" w:rsidRPr="00B96FC0" w:rsidRDefault="00D21312" w:rsidP="009046B9">
      <w:pPr>
        <w:numPr>
          <w:ilvl w:val="0"/>
          <w:numId w:val="15"/>
        </w:numPr>
        <w:ind w:left="1077" w:right="386" w:hanging="357"/>
        <w:rPr>
          <w:color w:val="000000" w:themeColor="text1"/>
        </w:rPr>
      </w:pPr>
      <w:r w:rsidRPr="3274C890">
        <w:rPr>
          <w:color w:val="000000" w:themeColor="text1"/>
        </w:rPr>
        <w:t xml:space="preserve">Savings from efficiencies and transformation </w:t>
      </w:r>
      <w:r w:rsidR="0039603E" w:rsidRPr="3274C890">
        <w:rPr>
          <w:color w:val="000000" w:themeColor="text1"/>
        </w:rPr>
        <w:t xml:space="preserve">are </w:t>
      </w:r>
      <w:r w:rsidRPr="3274C890">
        <w:rPr>
          <w:color w:val="000000" w:themeColor="text1"/>
        </w:rPr>
        <w:t xml:space="preserve">not </w:t>
      </w:r>
      <w:r w:rsidR="00474F2B" w:rsidRPr="3274C890">
        <w:rPr>
          <w:color w:val="000000" w:themeColor="text1"/>
        </w:rPr>
        <w:t>achieved.</w:t>
      </w:r>
    </w:p>
    <w:p w14:paraId="6C9CA324" w14:textId="4B35FCCC" w:rsidR="001A3FC4" w:rsidRPr="00B96FC0" w:rsidRDefault="00BD2C12" w:rsidP="009046B9">
      <w:pPr>
        <w:numPr>
          <w:ilvl w:val="0"/>
          <w:numId w:val="15"/>
        </w:numPr>
        <w:ind w:left="1077" w:right="386" w:hanging="357"/>
        <w:rPr>
          <w:color w:val="000000" w:themeColor="text1"/>
        </w:rPr>
      </w:pPr>
      <w:r w:rsidRPr="3274C890">
        <w:rPr>
          <w:color w:val="000000" w:themeColor="text1"/>
        </w:rPr>
        <w:t>Council</w:t>
      </w:r>
      <w:r w:rsidR="00B37963" w:rsidRPr="3274C890">
        <w:rPr>
          <w:color w:val="000000" w:themeColor="text1"/>
        </w:rPr>
        <w:t xml:space="preserve"> income streams continue to be a</w:t>
      </w:r>
      <w:r w:rsidRPr="3274C890">
        <w:rPr>
          <w:color w:val="000000" w:themeColor="text1"/>
        </w:rPr>
        <w:t>ffected by the pandemic beyond the pro</w:t>
      </w:r>
      <w:r w:rsidR="00603CCF" w:rsidRPr="3274C890">
        <w:rPr>
          <w:color w:val="000000" w:themeColor="text1"/>
        </w:rPr>
        <w:t xml:space="preserve">visions already made in the </w:t>
      </w:r>
      <w:r w:rsidR="00097FD6" w:rsidRPr="3274C890">
        <w:rPr>
          <w:color w:val="000000" w:themeColor="text1"/>
        </w:rPr>
        <w:t>MTFS.</w:t>
      </w:r>
    </w:p>
    <w:p w14:paraId="30ECAC60" w14:textId="2FA399F0" w:rsidR="00CC329E" w:rsidRPr="00B96FC0" w:rsidRDefault="00CC329E" w:rsidP="009046B9">
      <w:pPr>
        <w:numPr>
          <w:ilvl w:val="0"/>
          <w:numId w:val="15"/>
        </w:numPr>
        <w:ind w:left="1077" w:right="386" w:hanging="357"/>
        <w:rPr>
          <w:color w:val="000000" w:themeColor="text1"/>
        </w:rPr>
      </w:pPr>
      <w:r w:rsidRPr="3274C890">
        <w:rPr>
          <w:color w:val="000000" w:themeColor="text1"/>
        </w:rPr>
        <w:t xml:space="preserve">Failure </w:t>
      </w:r>
      <w:r w:rsidR="003E060B" w:rsidRPr="3274C890">
        <w:rPr>
          <w:color w:val="000000" w:themeColor="text1"/>
        </w:rPr>
        <w:t xml:space="preserve">or uncertainty of </w:t>
      </w:r>
      <w:r w:rsidRPr="3274C890">
        <w:rPr>
          <w:color w:val="000000" w:themeColor="text1"/>
        </w:rPr>
        <w:t>major partner</w:t>
      </w:r>
      <w:r w:rsidR="003E060B" w:rsidRPr="3274C890">
        <w:rPr>
          <w:color w:val="000000" w:themeColor="text1"/>
        </w:rPr>
        <w:t xml:space="preserve">s to deliver </w:t>
      </w:r>
      <w:r w:rsidRPr="3274C890">
        <w:rPr>
          <w:color w:val="000000" w:themeColor="text1"/>
        </w:rPr>
        <w:t xml:space="preserve">for instance </w:t>
      </w:r>
      <w:r w:rsidR="002E1FDE" w:rsidRPr="3274C890">
        <w:rPr>
          <w:color w:val="000000" w:themeColor="text1"/>
        </w:rPr>
        <w:t xml:space="preserve">in </w:t>
      </w:r>
      <w:r w:rsidR="00474F2B" w:rsidRPr="3274C890">
        <w:rPr>
          <w:color w:val="000000" w:themeColor="text1"/>
        </w:rPr>
        <w:t>Leisure.</w:t>
      </w:r>
      <w:r w:rsidRPr="3274C890">
        <w:rPr>
          <w:color w:val="000000" w:themeColor="text1"/>
        </w:rPr>
        <w:t xml:space="preserve"> </w:t>
      </w:r>
    </w:p>
    <w:p w14:paraId="74AD99B7" w14:textId="02C74FAA" w:rsidR="00956521" w:rsidRPr="00B96FC0" w:rsidRDefault="00603CCF" w:rsidP="009046B9">
      <w:pPr>
        <w:numPr>
          <w:ilvl w:val="0"/>
          <w:numId w:val="15"/>
        </w:numPr>
        <w:ind w:left="1077" w:right="386" w:hanging="357"/>
        <w:rPr>
          <w:color w:val="000000" w:themeColor="text1"/>
        </w:rPr>
      </w:pPr>
      <w:r w:rsidRPr="3274C890">
        <w:rPr>
          <w:color w:val="000000" w:themeColor="text1"/>
        </w:rPr>
        <w:t>C</w:t>
      </w:r>
      <w:r w:rsidR="00704D06" w:rsidRPr="3274C890">
        <w:rPr>
          <w:color w:val="000000" w:themeColor="text1"/>
        </w:rPr>
        <w:t>ompanies do</w:t>
      </w:r>
      <w:r w:rsidR="00956521" w:rsidRPr="3274C890">
        <w:rPr>
          <w:color w:val="000000" w:themeColor="text1"/>
        </w:rPr>
        <w:t xml:space="preserve"> not perform as well </w:t>
      </w:r>
      <w:r w:rsidR="00B37963" w:rsidRPr="3274C890">
        <w:rPr>
          <w:color w:val="000000" w:themeColor="text1"/>
        </w:rPr>
        <w:t xml:space="preserve">as expected </w:t>
      </w:r>
      <w:r w:rsidR="00956521" w:rsidRPr="3274C890">
        <w:rPr>
          <w:color w:val="000000" w:themeColor="text1"/>
        </w:rPr>
        <w:t xml:space="preserve">leading to reduced income to </w:t>
      </w:r>
      <w:r w:rsidR="00A441F6" w:rsidRPr="3274C890">
        <w:rPr>
          <w:color w:val="000000" w:themeColor="text1"/>
        </w:rPr>
        <w:t xml:space="preserve">the </w:t>
      </w:r>
      <w:r w:rsidR="00474F2B" w:rsidRPr="3274C890">
        <w:rPr>
          <w:color w:val="000000" w:themeColor="text1"/>
        </w:rPr>
        <w:t>Council.</w:t>
      </w:r>
    </w:p>
    <w:p w14:paraId="42EEEFA1" w14:textId="27F17951" w:rsidR="0063583C" w:rsidRPr="00B96FC0" w:rsidRDefault="00E462AA" w:rsidP="009046B9">
      <w:pPr>
        <w:numPr>
          <w:ilvl w:val="0"/>
          <w:numId w:val="15"/>
        </w:numPr>
        <w:ind w:left="1077" w:right="386" w:hanging="357"/>
        <w:rPr>
          <w:color w:val="000000" w:themeColor="text1"/>
        </w:rPr>
      </w:pPr>
      <w:r w:rsidRPr="3274C890">
        <w:rPr>
          <w:color w:val="000000" w:themeColor="text1"/>
        </w:rPr>
        <w:t>Business Rate</w:t>
      </w:r>
      <w:r w:rsidR="0018345C" w:rsidRPr="3274C890">
        <w:rPr>
          <w:color w:val="000000" w:themeColor="text1"/>
        </w:rPr>
        <w:t xml:space="preserve">s </w:t>
      </w:r>
      <w:r w:rsidR="7C991EF4" w:rsidRPr="3274C890">
        <w:rPr>
          <w:color w:val="000000" w:themeColor="text1"/>
        </w:rPr>
        <w:t>income is</w:t>
      </w:r>
      <w:r w:rsidR="0018345C" w:rsidRPr="3274C890">
        <w:rPr>
          <w:color w:val="000000" w:themeColor="text1"/>
        </w:rPr>
        <w:t xml:space="preserve"> </w:t>
      </w:r>
      <w:r w:rsidR="00AB7A34" w:rsidRPr="3274C890">
        <w:rPr>
          <w:color w:val="000000" w:themeColor="text1"/>
        </w:rPr>
        <w:t>lower than</w:t>
      </w:r>
      <w:r w:rsidR="0018345C" w:rsidRPr="3274C890">
        <w:rPr>
          <w:color w:val="000000" w:themeColor="text1"/>
        </w:rPr>
        <w:t xml:space="preserve"> </w:t>
      </w:r>
      <w:r w:rsidR="00474F2B" w:rsidRPr="3274C890">
        <w:rPr>
          <w:color w:val="000000" w:themeColor="text1"/>
        </w:rPr>
        <w:t>forecast.</w:t>
      </w:r>
    </w:p>
    <w:p w14:paraId="636BBE7D" w14:textId="05415E1F" w:rsidR="004876F5" w:rsidRPr="00B96FC0" w:rsidRDefault="00D21312" w:rsidP="009046B9">
      <w:pPr>
        <w:numPr>
          <w:ilvl w:val="0"/>
          <w:numId w:val="15"/>
        </w:numPr>
        <w:ind w:left="1077" w:right="386" w:hanging="357"/>
        <w:rPr>
          <w:color w:val="000000" w:themeColor="text1"/>
        </w:rPr>
      </w:pPr>
      <w:r w:rsidRPr="3274C890">
        <w:rPr>
          <w:color w:val="000000" w:themeColor="text1"/>
        </w:rPr>
        <w:t xml:space="preserve">Variations in interest rates or non-performance of property funds and multi asset vehicles effecting returns to </w:t>
      </w:r>
      <w:r w:rsidR="00097FD6" w:rsidRPr="3274C890">
        <w:rPr>
          <w:color w:val="000000" w:themeColor="text1"/>
        </w:rPr>
        <w:t>council.</w:t>
      </w:r>
    </w:p>
    <w:p w14:paraId="3777BACB" w14:textId="478B0DE7" w:rsidR="001C5E3F" w:rsidRPr="00B96FC0" w:rsidRDefault="00956521" w:rsidP="009046B9">
      <w:pPr>
        <w:numPr>
          <w:ilvl w:val="0"/>
          <w:numId w:val="15"/>
        </w:numPr>
        <w:ind w:left="1077" w:right="386" w:hanging="357"/>
        <w:rPr>
          <w:color w:val="000000" w:themeColor="text1"/>
          <w:sz w:val="22"/>
          <w:szCs w:val="22"/>
        </w:rPr>
      </w:pPr>
      <w:r w:rsidRPr="3274C890">
        <w:rPr>
          <w:color w:val="000000" w:themeColor="text1"/>
        </w:rPr>
        <w:t>S</w:t>
      </w:r>
      <w:r w:rsidR="001C5E3F" w:rsidRPr="3274C890">
        <w:rPr>
          <w:color w:val="000000" w:themeColor="text1"/>
        </w:rPr>
        <w:t>lippage in the capital programme adver</w:t>
      </w:r>
      <w:r w:rsidR="00A57C7D" w:rsidRPr="3274C890">
        <w:rPr>
          <w:color w:val="000000" w:themeColor="text1"/>
        </w:rPr>
        <w:t>sely a</w:t>
      </w:r>
      <w:r w:rsidR="001C5E3F" w:rsidRPr="3274C890">
        <w:rPr>
          <w:color w:val="000000" w:themeColor="text1"/>
        </w:rPr>
        <w:t>ffects revenue savings a</w:t>
      </w:r>
      <w:r w:rsidR="00A57C7D" w:rsidRPr="3274C890">
        <w:rPr>
          <w:color w:val="000000" w:themeColor="text1"/>
        </w:rPr>
        <w:t xml:space="preserve">nd additional income in the </w:t>
      </w:r>
      <w:r w:rsidR="00097FD6" w:rsidRPr="3274C890">
        <w:rPr>
          <w:color w:val="000000" w:themeColor="text1"/>
        </w:rPr>
        <w:t>MTFS.</w:t>
      </w:r>
    </w:p>
    <w:p w14:paraId="1EE7D618" w14:textId="09009E69" w:rsidR="00447C29" w:rsidRPr="00B96FC0" w:rsidRDefault="00D21312" w:rsidP="009046B9">
      <w:pPr>
        <w:numPr>
          <w:ilvl w:val="0"/>
          <w:numId w:val="15"/>
        </w:numPr>
        <w:ind w:left="1077" w:right="386" w:hanging="357"/>
      </w:pPr>
      <w:r w:rsidRPr="3274C890">
        <w:rPr>
          <w:color w:val="000000" w:themeColor="text1"/>
        </w:rPr>
        <w:t xml:space="preserve">Cuts by partner organisations such as the County Council adversely affect service </w:t>
      </w:r>
      <w:r w:rsidR="00474F2B" w:rsidRPr="3274C890">
        <w:rPr>
          <w:color w:val="000000" w:themeColor="text1"/>
        </w:rPr>
        <w:t>provision.</w:t>
      </w:r>
    </w:p>
    <w:p w14:paraId="6732B51B" w14:textId="626C01A2" w:rsidR="12B5E433" w:rsidRPr="00B96FC0" w:rsidRDefault="12B5E433" w:rsidP="12B5E433">
      <w:pPr>
        <w:tabs>
          <w:tab w:val="left" w:pos="630"/>
        </w:tabs>
        <w:ind w:right="386"/>
        <w:rPr>
          <w:b/>
        </w:rPr>
      </w:pPr>
    </w:p>
    <w:p w14:paraId="3F0D2937" w14:textId="77777777" w:rsidR="00447C29" w:rsidRPr="00B96FC0" w:rsidRDefault="005F0903" w:rsidP="00A114CA">
      <w:pPr>
        <w:tabs>
          <w:tab w:val="left" w:pos="630"/>
        </w:tabs>
        <w:ind w:right="386"/>
        <w:rPr>
          <w:b/>
        </w:rPr>
      </w:pPr>
      <w:r w:rsidRPr="1EDB5DC6">
        <w:rPr>
          <w:b/>
        </w:rPr>
        <w:t>Wholly Owned Companies and Joint Ventures</w:t>
      </w:r>
    </w:p>
    <w:p w14:paraId="76F2FC4B" w14:textId="77777777" w:rsidR="00447C29" w:rsidRPr="00B96FC0" w:rsidRDefault="00447C29" w:rsidP="00A114CA">
      <w:pPr>
        <w:ind w:right="386"/>
      </w:pPr>
    </w:p>
    <w:p w14:paraId="62C5B6DD" w14:textId="77777777" w:rsidR="00447C29" w:rsidRPr="00B96FC0" w:rsidRDefault="001567C0" w:rsidP="12B5E433">
      <w:pPr>
        <w:tabs>
          <w:tab w:val="left" w:pos="630"/>
        </w:tabs>
        <w:ind w:right="386"/>
        <w:rPr>
          <w:rFonts w:cs="Arial"/>
          <w:b/>
        </w:rPr>
      </w:pPr>
      <w:r w:rsidRPr="1EDB5DC6">
        <w:rPr>
          <w:rFonts w:cs="Arial"/>
          <w:b/>
        </w:rPr>
        <w:t>Oxford Direct Services Ltd</w:t>
      </w:r>
    </w:p>
    <w:p w14:paraId="56053299" w14:textId="77777777" w:rsidR="001567C0" w:rsidRPr="00B96FC0" w:rsidRDefault="001567C0" w:rsidP="003A0B17">
      <w:pPr>
        <w:tabs>
          <w:tab w:val="left" w:pos="630"/>
        </w:tabs>
        <w:ind w:right="386"/>
        <w:rPr>
          <w:rFonts w:cs="Arial"/>
          <w:b/>
          <w:highlight w:val="yellow"/>
        </w:rPr>
      </w:pPr>
    </w:p>
    <w:p w14:paraId="2072EA28" w14:textId="77777777" w:rsidR="00447C29" w:rsidRPr="00B96FC0" w:rsidRDefault="00B74859" w:rsidP="009046B9">
      <w:pPr>
        <w:pStyle w:val="ListParagraph"/>
        <w:numPr>
          <w:ilvl w:val="0"/>
          <w:numId w:val="46"/>
        </w:numPr>
        <w:ind w:left="426" w:right="386" w:hanging="426"/>
      </w:pPr>
      <w:r>
        <w:t xml:space="preserve">On </w:t>
      </w:r>
      <w:r w:rsidR="00447C29">
        <w:t>1</w:t>
      </w:r>
      <w:r w:rsidR="00447C29" w:rsidRPr="6F9FB908">
        <w:rPr>
          <w:vertAlign w:val="superscript"/>
        </w:rPr>
        <w:t>st</w:t>
      </w:r>
      <w:r w:rsidR="00447C29">
        <w:t xml:space="preserve"> April 2016 the Council established a wholly owned local authority trading company for services provided by Direct Services at that</w:t>
      </w:r>
      <w:r w:rsidR="00F94707">
        <w:t xml:space="preserve"> time. The company takes the fo</w:t>
      </w:r>
      <w:r w:rsidR="00FA7EA6">
        <w:t>r</w:t>
      </w:r>
      <w:r w:rsidR="00447C29">
        <w:t>m of:</w:t>
      </w:r>
    </w:p>
    <w:p w14:paraId="738DBA73" w14:textId="77777777" w:rsidR="00447C29" w:rsidRPr="00B96FC0" w:rsidRDefault="00447C29" w:rsidP="003A0B17">
      <w:pPr>
        <w:ind w:left="540" w:right="386" w:hanging="720"/>
      </w:pPr>
    </w:p>
    <w:p w14:paraId="1F36B747" w14:textId="322355BB" w:rsidR="00447C29" w:rsidRPr="00B96FC0" w:rsidRDefault="00447C29" w:rsidP="009046B9">
      <w:pPr>
        <w:pStyle w:val="ListParagraph"/>
        <w:numPr>
          <w:ilvl w:val="0"/>
          <w:numId w:val="16"/>
        </w:numPr>
        <w:ind w:right="386" w:hanging="589"/>
      </w:pPr>
      <w:r>
        <w:t xml:space="preserve">A </w:t>
      </w:r>
      <w:proofErr w:type="spellStart"/>
      <w:r>
        <w:t>Teckal</w:t>
      </w:r>
      <w:proofErr w:type="spellEnd"/>
      <w:r>
        <w:t xml:space="preserve"> company (Oxford Direct Services Ltd)– providing all statutory services to the Council benefiting from a procurement exemption together with externally traded services for engineering, motor transport and building </w:t>
      </w:r>
      <w:r w:rsidR="00097FD6">
        <w:t>works.</w:t>
      </w:r>
    </w:p>
    <w:p w14:paraId="1121EF0B" w14:textId="384EDE64" w:rsidR="00447C29" w:rsidRPr="00B96FC0" w:rsidRDefault="00447C29" w:rsidP="009046B9">
      <w:pPr>
        <w:pStyle w:val="ListParagraph"/>
        <w:numPr>
          <w:ilvl w:val="0"/>
          <w:numId w:val="16"/>
        </w:numPr>
        <w:ind w:right="386" w:hanging="589"/>
      </w:pPr>
      <w:r>
        <w:t xml:space="preserve">A Trading Company (Oxford Direct Services Trading Ltd) – providing externally traded commercial waste </w:t>
      </w:r>
      <w:r w:rsidR="00097FD6">
        <w:t>services.</w:t>
      </w:r>
    </w:p>
    <w:p w14:paraId="5DDC4113" w14:textId="77777777" w:rsidR="00447C29" w:rsidRPr="00B96FC0" w:rsidRDefault="00447C29" w:rsidP="003A0B17">
      <w:pPr>
        <w:ind w:right="386" w:hanging="281"/>
      </w:pPr>
    </w:p>
    <w:p w14:paraId="7ABF64ED" w14:textId="782248C6" w:rsidR="007428D2" w:rsidRPr="00B96FC0" w:rsidRDefault="007F0BC2" w:rsidP="009046B9">
      <w:pPr>
        <w:pStyle w:val="ListParagraph"/>
        <w:numPr>
          <w:ilvl w:val="0"/>
          <w:numId w:val="46"/>
        </w:numPr>
        <w:ind w:left="426" w:right="386" w:hanging="426"/>
      </w:pPr>
      <w:r>
        <w:t>At the time of preparing this report</w:t>
      </w:r>
      <w:r w:rsidR="5852C6DA">
        <w:t>,</w:t>
      </w:r>
      <w:r>
        <w:t xml:space="preserve"> the companies 202</w:t>
      </w:r>
      <w:r w:rsidR="4187DA48">
        <w:t>3</w:t>
      </w:r>
      <w:r>
        <w:t>-2</w:t>
      </w:r>
      <w:r w:rsidR="7F65A523">
        <w:t>4</w:t>
      </w:r>
      <w:r>
        <w:t xml:space="preserve"> accounts </w:t>
      </w:r>
      <w:r w:rsidR="016EFE84">
        <w:t xml:space="preserve">have </w:t>
      </w:r>
      <w:r w:rsidR="2386CDF7">
        <w:t xml:space="preserve">been audited but have </w:t>
      </w:r>
      <w:r w:rsidR="016EFE84">
        <w:t>yet to be</w:t>
      </w:r>
      <w:r w:rsidR="4B38DFDD">
        <w:t xml:space="preserve"> approved by the Board</w:t>
      </w:r>
      <w:r w:rsidR="653EB2D1">
        <w:t>.</w:t>
      </w:r>
      <w:r>
        <w:t xml:space="preserve"> </w:t>
      </w:r>
      <w:r w:rsidR="2D395B77">
        <w:t xml:space="preserve">The accounts indicate </w:t>
      </w:r>
      <w:r w:rsidR="5C554275">
        <w:t xml:space="preserve">an overall surplus of </w:t>
      </w:r>
      <w:r w:rsidR="7D21F0F5">
        <w:t>around £3.3 million for the two companies</w:t>
      </w:r>
      <w:r w:rsidR="23037547">
        <w:t>,</w:t>
      </w:r>
      <w:r w:rsidR="58F4B054">
        <w:t xml:space="preserve"> </w:t>
      </w:r>
      <w:r w:rsidR="068903BE">
        <w:t>w</w:t>
      </w:r>
      <w:r w:rsidR="2D395B77">
        <w:t xml:space="preserve">hich bodes well for the declaration of a dividend </w:t>
      </w:r>
      <w:r w:rsidR="73A2CF70">
        <w:t>fr</w:t>
      </w:r>
      <w:r w:rsidR="2FF4011A">
        <w:t>o</w:t>
      </w:r>
      <w:r w:rsidR="73A2CF70">
        <w:t xml:space="preserve">m the company in line with </w:t>
      </w:r>
      <w:r w:rsidR="2D395B77">
        <w:t>Council</w:t>
      </w:r>
      <w:r w:rsidR="16376987">
        <w:t>’s budget of £</w:t>
      </w:r>
      <w:r w:rsidR="49244AA2">
        <w:t xml:space="preserve">1.9 </w:t>
      </w:r>
      <w:r w:rsidR="70D3F75F">
        <w:t>million</w:t>
      </w:r>
      <w:r w:rsidR="49244AA2">
        <w:t xml:space="preserve"> f</w:t>
      </w:r>
      <w:r w:rsidR="16376987">
        <w:t xml:space="preserve">or </w:t>
      </w:r>
      <w:proofErr w:type="gramStart"/>
      <w:r w:rsidR="16376987">
        <w:t>2024-25</w:t>
      </w:r>
      <w:r w:rsidR="6FDA6955">
        <w:t>,</w:t>
      </w:r>
      <w:r w:rsidR="16376987">
        <w:t xml:space="preserve"> o</w:t>
      </w:r>
      <w:r w:rsidR="2D395B77">
        <w:t>nce</w:t>
      </w:r>
      <w:proofErr w:type="gramEnd"/>
      <w:r w:rsidR="2D395B77">
        <w:t xml:space="preserve"> </w:t>
      </w:r>
      <w:r w:rsidR="53DEC517">
        <w:t xml:space="preserve">the accounts </w:t>
      </w:r>
      <w:r w:rsidR="553398DE">
        <w:t xml:space="preserve">have been </w:t>
      </w:r>
      <w:r w:rsidR="53DEC517">
        <w:t>signed off</w:t>
      </w:r>
      <w:r w:rsidR="553398DE">
        <w:t xml:space="preserve"> and presented to the shareholder in November</w:t>
      </w:r>
      <w:r w:rsidR="53DEC517">
        <w:t>.</w:t>
      </w:r>
      <w:r>
        <w:t xml:space="preserve">  </w:t>
      </w:r>
    </w:p>
    <w:p w14:paraId="6518A9D0" w14:textId="77777777" w:rsidR="007F0BC2" w:rsidRPr="00B96FC0" w:rsidRDefault="007F0BC2" w:rsidP="007F0BC2">
      <w:pPr>
        <w:pStyle w:val="ListParagraph"/>
        <w:ind w:right="386"/>
      </w:pPr>
    </w:p>
    <w:p w14:paraId="614ACB3C" w14:textId="4E474C65" w:rsidR="00893574" w:rsidRPr="00B96FC0" w:rsidRDefault="2A59FB7A" w:rsidP="009046B9">
      <w:pPr>
        <w:pStyle w:val="ListParagraph"/>
        <w:numPr>
          <w:ilvl w:val="0"/>
          <w:numId w:val="46"/>
        </w:numPr>
        <w:ind w:left="426" w:right="386" w:hanging="426"/>
      </w:pPr>
      <w:r>
        <w:t xml:space="preserve">The Companies have yet to present any </w:t>
      </w:r>
      <w:r w:rsidR="23C9F23B">
        <w:t xml:space="preserve">updated </w:t>
      </w:r>
      <w:r w:rsidR="00653A9E">
        <w:t>Business Plan</w:t>
      </w:r>
      <w:r w:rsidR="10DB8133">
        <w:t>s</w:t>
      </w:r>
      <w:r w:rsidR="00653A9E">
        <w:t xml:space="preserve"> </w:t>
      </w:r>
      <w:r w:rsidR="57EB02B3">
        <w:t>to shareholder</w:t>
      </w:r>
      <w:r w:rsidR="33AEBA6F">
        <w:t>s</w:t>
      </w:r>
      <w:r w:rsidR="57EB02B3">
        <w:t xml:space="preserve"> </w:t>
      </w:r>
      <w:r w:rsidR="7259AF72">
        <w:t xml:space="preserve">with the last ones presented in </w:t>
      </w:r>
      <w:r w:rsidR="00461563">
        <w:t>December</w:t>
      </w:r>
      <w:r w:rsidR="6425525B">
        <w:t xml:space="preserve"> 2023</w:t>
      </w:r>
      <w:r w:rsidR="64828A5E">
        <w:t>.</w:t>
      </w:r>
      <w:r w:rsidR="00193099">
        <w:t xml:space="preserve"> </w:t>
      </w:r>
      <w:r w:rsidR="007F0BC2">
        <w:t xml:space="preserve">Surpluses from ODSL </w:t>
      </w:r>
      <w:r w:rsidR="5C836EAE">
        <w:t xml:space="preserve">were shown as flat lining </w:t>
      </w:r>
      <w:r w:rsidR="007F0BC2">
        <w:t xml:space="preserve">at </w:t>
      </w:r>
      <w:r w:rsidR="03AB2C87">
        <w:t xml:space="preserve">around </w:t>
      </w:r>
      <w:r w:rsidR="007F0BC2">
        <w:t xml:space="preserve">£1.9 million per annum for the next few years </w:t>
      </w:r>
      <w:r w:rsidR="1C22F4E3">
        <w:t xml:space="preserve">whilst surpluses </w:t>
      </w:r>
      <w:r w:rsidR="00FC02F0">
        <w:t xml:space="preserve">from ODSTL </w:t>
      </w:r>
      <w:r w:rsidR="7AE75BEE">
        <w:t xml:space="preserve">are shown as increasing. </w:t>
      </w:r>
      <w:r w:rsidR="00FC02F0">
        <w:t xml:space="preserve"> </w:t>
      </w:r>
      <w:r w:rsidR="361711C9">
        <w:t xml:space="preserve">Details are given </w:t>
      </w:r>
      <w:r w:rsidR="00FC02F0">
        <w:t>below:</w:t>
      </w:r>
    </w:p>
    <w:p w14:paraId="5CF88EDE" w14:textId="77777777" w:rsidR="000C178A" w:rsidRPr="00B96FC0" w:rsidRDefault="000C178A" w:rsidP="000C178A">
      <w:pPr>
        <w:pStyle w:val="ListParagraph"/>
      </w:pPr>
    </w:p>
    <w:p w14:paraId="7944D921" w14:textId="0665332A" w:rsidR="00893574" w:rsidRDefault="00ED2696" w:rsidP="00893574">
      <w:pPr>
        <w:pStyle w:val="ListParagraph"/>
        <w:ind w:right="386"/>
        <w:rPr>
          <w:b/>
          <w:bCs/>
        </w:rPr>
      </w:pPr>
      <w:r w:rsidRPr="3274C890">
        <w:rPr>
          <w:b/>
        </w:rPr>
        <w:t xml:space="preserve">Table </w:t>
      </w:r>
      <w:proofErr w:type="gramStart"/>
      <w:r w:rsidRPr="3274C890">
        <w:rPr>
          <w:b/>
        </w:rPr>
        <w:t>6</w:t>
      </w:r>
      <w:r w:rsidR="00893574" w:rsidRPr="3274C890">
        <w:rPr>
          <w:b/>
        </w:rPr>
        <w:t xml:space="preserve"> :</w:t>
      </w:r>
      <w:proofErr w:type="gramEnd"/>
      <w:r w:rsidR="00893574" w:rsidRPr="3274C890">
        <w:rPr>
          <w:b/>
        </w:rPr>
        <w:t xml:space="preserve"> Oxford Direct Services Revenue – </w:t>
      </w:r>
      <w:r w:rsidR="00893574" w:rsidRPr="3274C890">
        <w:rPr>
          <w:b/>
          <w:bCs/>
        </w:rPr>
        <w:t>202</w:t>
      </w:r>
      <w:r w:rsidR="66C7FB7F" w:rsidRPr="3274C890">
        <w:rPr>
          <w:b/>
          <w:bCs/>
        </w:rPr>
        <w:t>3</w:t>
      </w:r>
      <w:r w:rsidR="00893574" w:rsidRPr="3274C890">
        <w:rPr>
          <w:b/>
          <w:bCs/>
        </w:rPr>
        <w:t>-2</w:t>
      </w:r>
      <w:r w:rsidR="0172A7CC" w:rsidRPr="3274C890">
        <w:rPr>
          <w:b/>
          <w:bCs/>
        </w:rPr>
        <w:t>4</w:t>
      </w:r>
      <w:r w:rsidR="00893574" w:rsidRPr="3274C890">
        <w:rPr>
          <w:b/>
        </w:rPr>
        <w:t xml:space="preserve"> to </w:t>
      </w:r>
      <w:r w:rsidR="00893574" w:rsidRPr="3274C890">
        <w:rPr>
          <w:b/>
          <w:bCs/>
        </w:rPr>
        <w:t>202</w:t>
      </w:r>
      <w:r w:rsidR="7AB62AF4" w:rsidRPr="3274C890">
        <w:rPr>
          <w:b/>
          <w:bCs/>
        </w:rPr>
        <w:t>7</w:t>
      </w:r>
      <w:r w:rsidR="00893574" w:rsidRPr="3274C890">
        <w:rPr>
          <w:b/>
          <w:bCs/>
        </w:rPr>
        <w:t>-2</w:t>
      </w:r>
      <w:r w:rsidR="6B61592D" w:rsidRPr="3274C890">
        <w:rPr>
          <w:b/>
          <w:bCs/>
        </w:rPr>
        <w:t>8</w:t>
      </w:r>
    </w:p>
    <w:p w14:paraId="7E9F85D2" w14:textId="77777777" w:rsidR="00F65884" w:rsidRDefault="00F65884" w:rsidP="00893574">
      <w:pPr>
        <w:pStyle w:val="ListParagraph"/>
        <w:ind w:right="386"/>
        <w:rPr>
          <w:b/>
          <w:bCs/>
        </w:rPr>
      </w:pPr>
    </w:p>
    <w:p w14:paraId="0167C300" w14:textId="77777777" w:rsidR="00F65884" w:rsidRDefault="00F65884" w:rsidP="00893574">
      <w:pPr>
        <w:pStyle w:val="ListParagraph"/>
        <w:ind w:right="386"/>
        <w:rPr>
          <w:b/>
          <w:bCs/>
        </w:rPr>
      </w:pPr>
    </w:p>
    <w:p w14:paraId="061BC0B6" w14:textId="77777777" w:rsidR="00F65884" w:rsidRDefault="00F65884" w:rsidP="00893574">
      <w:pPr>
        <w:pStyle w:val="ListParagraph"/>
        <w:ind w:right="386"/>
        <w:rPr>
          <w:b/>
          <w:bCs/>
        </w:rPr>
      </w:pPr>
    </w:p>
    <w:p w14:paraId="6DFC68EC" w14:textId="77777777" w:rsidR="00F65884" w:rsidRPr="00B96FC0" w:rsidRDefault="00F65884" w:rsidP="00893574">
      <w:pPr>
        <w:pStyle w:val="ListParagraph"/>
        <w:ind w:right="386"/>
        <w:rPr>
          <w:b/>
        </w:rPr>
      </w:pPr>
    </w:p>
    <w:p w14:paraId="144DB35C" w14:textId="77777777" w:rsidR="00FC02F0" w:rsidRPr="00B96FC0" w:rsidRDefault="00FC02F0" w:rsidP="00893574">
      <w:pPr>
        <w:pStyle w:val="ListParagraph"/>
        <w:ind w:right="386"/>
        <w:rPr>
          <w:b/>
          <w:highlight w:val="yellow"/>
        </w:rPr>
      </w:pPr>
    </w:p>
    <w:tbl>
      <w:tblPr>
        <w:tblW w:w="0" w:type="auto"/>
        <w:tblLayout w:type="fixed"/>
        <w:tblLook w:val="06A0" w:firstRow="1" w:lastRow="0" w:firstColumn="1" w:lastColumn="0" w:noHBand="1" w:noVBand="1"/>
      </w:tblPr>
      <w:tblGrid>
        <w:gridCol w:w="874"/>
        <w:gridCol w:w="874"/>
        <w:gridCol w:w="874"/>
        <w:gridCol w:w="874"/>
        <w:gridCol w:w="874"/>
        <w:gridCol w:w="874"/>
        <w:gridCol w:w="874"/>
        <w:gridCol w:w="1395"/>
        <w:gridCol w:w="353"/>
        <w:gridCol w:w="874"/>
        <w:gridCol w:w="874"/>
      </w:tblGrid>
      <w:tr w:rsidR="3274C890" w14:paraId="2A63A858" w14:textId="77777777" w:rsidTr="3274C890">
        <w:trPr>
          <w:trHeight w:val="300"/>
        </w:trPr>
        <w:tc>
          <w:tcPr>
            <w:tcW w:w="8740" w:type="dxa"/>
            <w:gridSpan w:val="10"/>
            <w:tcBorders>
              <w:top w:val="nil"/>
              <w:left w:val="nil"/>
              <w:bottom w:val="nil"/>
              <w:right w:val="nil"/>
            </w:tcBorders>
            <w:tcMar>
              <w:top w:w="15" w:type="dxa"/>
              <w:left w:w="15" w:type="dxa"/>
              <w:right w:w="15" w:type="dxa"/>
            </w:tcMar>
            <w:vAlign w:val="bottom"/>
          </w:tcPr>
          <w:p w14:paraId="51B0FF76" w14:textId="5EBC70A5" w:rsidR="3274C890" w:rsidRDefault="3274C890" w:rsidP="3274C890">
            <w:r w:rsidRPr="3274C890">
              <w:rPr>
                <w:rFonts w:ascii="Calibri" w:eastAsia="Calibri" w:hAnsi="Calibri" w:cs="Calibri"/>
                <w:color w:val="000000" w:themeColor="text1"/>
                <w:sz w:val="22"/>
                <w:szCs w:val="22"/>
              </w:rPr>
              <w:lastRenderedPageBreak/>
              <w:t>REVISED- SHAREHOLDERS 7TH DECEMBER 2023</w:t>
            </w:r>
          </w:p>
        </w:tc>
        <w:tc>
          <w:tcPr>
            <w:tcW w:w="874" w:type="dxa"/>
            <w:tcBorders>
              <w:top w:val="nil"/>
              <w:left w:val="nil"/>
              <w:bottom w:val="nil"/>
              <w:right w:val="nil"/>
            </w:tcBorders>
            <w:tcMar>
              <w:top w:w="15" w:type="dxa"/>
              <w:left w:w="15" w:type="dxa"/>
              <w:right w:w="15" w:type="dxa"/>
            </w:tcMar>
            <w:vAlign w:val="bottom"/>
          </w:tcPr>
          <w:p w14:paraId="7309395B" w14:textId="5B3091DC" w:rsidR="3274C890" w:rsidRDefault="3274C890"/>
        </w:tc>
      </w:tr>
      <w:tr w:rsidR="3274C890" w14:paraId="3004E3F6" w14:textId="77777777" w:rsidTr="3274C890">
        <w:trPr>
          <w:trHeight w:val="285"/>
        </w:trPr>
        <w:tc>
          <w:tcPr>
            <w:tcW w:w="874" w:type="dxa"/>
            <w:tcBorders>
              <w:top w:val="single" w:sz="8" w:space="0" w:color="auto"/>
              <w:left w:val="single" w:sz="8" w:space="0" w:color="auto"/>
              <w:bottom w:val="nil"/>
              <w:right w:val="nil"/>
            </w:tcBorders>
            <w:tcMar>
              <w:top w:w="15" w:type="dxa"/>
              <w:left w:w="15" w:type="dxa"/>
              <w:right w:w="15" w:type="dxa"/>
            </w:tcMar>
            <w:vAlign w:val="bottom"/>
          </w:tcPr>
          <w:p w14:paraId="63C557C5" w14:textId="5C66919E" w:rsidR="3274C890" w:rsidRDefault="3274C890" w:rsidP="3274C890">
            <w:r w:rsidRPr="3274C890">
              <w:rPr>
                <w:rFonts w:ascii="Calibri" w:eastAsia="Calibri" w:hAnsi="Calibri" w:cs="Calibri"/>
                <w:color w:val="000000" w:themeColor="text1"/>
                <w:sz w:val="22"/>
                <w:szCs w:val="22"/>
              </w:rPr>
              <w:t xml:space="preserve"> </w:t>
            </w:r>
          </w:p>
        </w:tc>
        <w:tc>
          <w:tcPr>
            <w:tcW w:w="874" w:type="dxa"/>
            <w:tcBorders>
              <w:top w:val="single" w:sz="8" w:space="0" w:color="auto"/>
              <w:left w:val="nil"/>
              <w:bottom w:val="nil"/>
              <w:right w:val="nil"/>
            </w:tcBorders>
            <w:tcMar>
              <w:top w:w="15" w:type="dxa"/>
              <w:left w:w="15" w:type="dxa"/>
              <w:right w:w="15" w:type="dxa"/>
            </w:tcMar>
            <w:vAlign w:val="bottom"/>
          </w:tcPr>
          <w:p w14:paraId="571318BD" w14:textId="585E26F9" w:rsidR="3274C890" w:rsidRDefault="3274C890" w:rsidP="3274C890">
            <w:r w:rsidRPr="3274C890">
              <w:rPr>
                <w:rFonts w:ascii="Calibri" w:eastAsia="Calibri" w:hAnsi="Calibri" w:cs="Calibri"/>
                <w:color w:val="000000" w:themeColor="text1"/>
                <w:sz w:val="22"/>
                <w:szCs w:val="22"/>
              </w:rPr>
              <w:t xml:space="preserve"> </w:t>
            </w:r>
          </w:p>
        </w:tc>
        <w:tc>
          <w:tcPr>
            <w:tcW w:w="874" w:type="dxa"/>
            <w:tcBorders>
              <w:top w:val="single" w:sz="8" w:space="0" w:color="auto"/>
              <w:left w:val="nil"/>
              <w:bottom w:val="nil"/>
              <w:right w:val="nil"/>
            </w:tcBorders>
            <w:tcMar>
              <w:top w:w="15" w:type="dxa"/>
              <w:left w:w="15" w:type="dxa"/>
              <w:right w:w="15" w:type="dxa"/>
            </w:tcMar>
            <w:vAlign w:val="bottom"/>
          </w:tcPr>
          <w:p w14:paraId="213FF504" w14:textId="58C5EDA2" w:rsidR="3274C890" w:rsidRDefault="3274C890" w:rsidP="3274C890">
            <w:r w:rsidRPr="3274C890">
              <w:rPr>
                <w:rFonts w:ascii="Calibri" w:eastAsia="Calibri" w:hAnsi="Calibri" w:cs="Calibri"/>
                <w:color w:val="000000" w:themeColor="text1"/>
                <w:sz w:val="22"/>
                <w:szCs w:val="22"/>
              </w:rPr>
              <w:t xml:space="preserve"> </w:t>
            </w:r>
          </w:p>
        </w:tc>
        <w:tc>
          <w:tcPr>
            <w:tcW w:w="2622" w:type="dxa"/>
            <w:gridSpan w:val="3"/>
            <w:tcBorders>
              <w:top w:val="single" w:sz="8" w:space="0" w:color="auto"/>
              <w:left w:val="nil"/>
              <w:bottom w:val="nil"/>
              <w:right w:val="nil"/>
            </w:tcBorders>
            <w:tcMar>
              <w:top w:w="15" w:type="dxa"/>
              <w:left w:w="15" w:type="dxa"/>
              <w:right w:w="15" w:type="dxa"/>
            </w:tcMar>
            <w:vAlign w:val="bottom"/>
          </w:tcPr>
          <w:p w14:paraId="1E1791B3" w14:textId="4BAB830C" w:rsidR="3274C890" w:rsidRDefault="3274C890" w:rsidP="3274C890">
            <w:pPr>
              <w:jc w:val="center"/>
            </w:pPr>
            <w:r w:rsidRPr="3274C890">
              <w:rPr>
                <w:rFonts w:ascii="Calibri" w:eastAsia="Calibri" w:hAnsi="Calibri" w:cs="Calibri"/>
                <w:b/>
                <w:bCs/>
                <w:color w:val="000000" w:themeColor="text1"/>
                <w:sz w:val="22"/>
                <w:szCs w:val="22"/>
              </w:rPr>
              <w:t>Updated ODS Business Plan -Dec 2023</w:t>
            </w:r>
          </w:p>
        </w:tc>
        <w:tc>
          <w:tcPr>
            <w:tcW w:w="874" w:type="dxa"/>
            <w:tcBorders>
              <w:top w:val="single" w:sz="8" w:space="0" w:color="auto"/>
              <w:left w:val="nil"/>
              <w:bottom w:val="nil"/>
              <w:right w:val="single" w:sz="8" w:space="0" w:color="auto"/>
            </w:tcBorders>
            <w:tcMar>
              <w:top w:w="15" w:type="dxa"/>
              <w:left w:w="15" w:type="dxa"/>
              <w:right w:w="15" w:type="dxa"/>
            </w:tcMar>
            <w:vAlign w:val="bottom"/>
          </w:tcPr>
          <w:p w14:paraId="5C174ACF" w14:textId="617E0BE9" w:rsidR="3274C890" w:rsidRDefault="3274C890" w:rsidP="3274C890">
            <w:r w:rsidRPr="3274C890">
              <w:rPr>
                <w:rFonts w:ascii="Calibri" w:eastAsia="Calibri" w:hAnsi="Calibri" w:cs="Calibri"/>
                <w:b/>
                <w:bCs/>
                <w:color w:val="000000" w:themeColor="text1"/>
                <w:sz w:val="22"/>
                <w:szCs w:val="22"/>
              </w:rPr>
              <w:t xml:space="preserve"> </w:t>
            </w:r>
          </w:p>
        </w:tc>
        <w:tc>
          <w:tcPr>
            <w:tcW w:w="1395"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01C91227" w14:textId="25B90EC4" w:rsidR="3274C890" w:rsidRDefault="3274C890" w:rsidP="3274C890">
            <w:r w:rsidRPr="3274C890">
              <w:rPr>
                <w:rFonts w:ascii="Calibri" w:eastAsia="Calibri" w:hAnsi="Calibri" w:cs="Calibri"/>
                <w:b/>
                <w:bCs/>
                <w:color w:val="000000" w:themeColor="text1"/>
                <w:sz w:val="22"/>
                <w:szCs w:val="22"/>
              </w:rPr>
              <w:t xml:space="preserve"> </w:t>
            </w:r>
          </w:p>
        </w:tc>
        <w:tc>
          <w:tcPr>
            <w:tcW w:w="353" w:type="dxa"/>
            <w:vAlign w:val="center"/>
          </w:tcPr>
          <w:p w14:paraId="32543E34" w14:textId="3BB665C8" w:rsidR="3274C890" w:rsidRDefault="3274C890"/>
        </w:tc>
        <w:tc>
          <w:tcPr>
            <w:tcW w:w="874" w:type="dxa"/>
            <w:vAlign w:val="center"/>
          </w:tcPr>
          <w:p w14:paraId="07B10151" w14:textId="0E22073C" w:rsidR="3274C890" w:rsidRDefault="3274C890"/>
        </w:tc>
        <w:tc>
          <w:tcPr>
            <w:tcW w:w="874" w:type="dxa"/>
            <w:vAlign w:val="center"/>
          </w:tcPr>
          <w:p w14:paraId="1A5F70C2" w14:textId="1A0A42EA" w:rsidR="3274C890" w:rsidRDefault="3274C890"/>
        </w:tc>
      </w:tr>
      <w:tr w:rsidR="3274C890" w14:paraId="32D3D452" w14:textId="77777777" w:rsidTr="3274C890">
        <w:trPr>
          <w:trHeight w:val="645"/>
        </w:trPr>
        <w:tc>
          <w:tcPr>
            <w:tcW w:w="874" w:type="dxa"/>
            <w:tcBorders>
              <w:top w:val="nil"/>
              <w:left w:val="single" w:sz="8" w:space="0" w:color="auto"/>
              <w:bottom w:val="nil"/>
              <w:right w:val="nil"/>
            </w:tcBorders>
            <w:tcMar>
              <w:top w:w="15" w:type="dxa"/>
              <w:left w:w="15" w:type="dxa"/>
              <w:right w:w="15" w:type="dxa"/>
            </w:tcMar>
            <w:vAlign w:val="bottom"/>
          </w:tcPr>
          <w:p w14:paraId="53CDA217" w14:textId="329F2C65" w:rsidR="3274C890" w:rsidRDefault="3274C890" w:rsidP="3274C890">
            <w:r w:rsidRPr="3274C890">
              <w:rPr>
                <w:rFonts w:ascii="Calibri" w:eastAsia="Calibri" w:hAnsi="Calibri" w:cs="Calibri"/>
                <w:color w:val="000000" w:themeColor="text1"/>
                <w:sz w:val="22"/>
                <w:szCs w:val="22"/>
              </w:rPr>
              <w:t xml:space="preserve"> </w:t>
            </w:r>
          </w:p>
        </w:tc>
        <w:tc>
          <w:tcPr>
            <w:tcW w:w="874" w:type="dxa"/>
            <w:tcBorders>
              <w:top w:val="nil"/>
              <w:left w:val="nil"/>
              <w:bottom w:val="nil"/>
              <w:right w:val="nil"/>
            </w:tcBorders>
            <w:tcMar>
              <w:top w:w="15" w:type="dxa"/>
              <w:left w:w="15" w:type="dxa"/>
              <w:right w:w="15" w:type="dxa"/>
            </w:tcMar>
            <w:vAlign w:val="bottom"/>
          </w:tcPr>
          <w:p w14:paraId="43FC91F9" w14:textId="14FA64FB" w:rsidR="3274C890" w:rsidRDefault="3274C890"/>
        </w:tc>
        <w:tc>
          <w:tcPr>
            <w:tcW w:w="874" w:type="dxa"/>
            <w:tcBorders>
              <w:top w:val="nil"/>
              <w:left w:val="nil"/>
              <w:bottom w:val="nil"/>
              <w:right w:val="nil"/>
            </w:tcBorders>
            <w:tcMar>
              <w:top w:w="15" w:type="dxa"/>
              <w:left w:w="15" w:type="dxa"/>
              <w:right w:w="15" w:type="dxa"/>
            </w:tcMar>
            <w:vAlign w:val="bottom"/>
          </w:tcPr>
          <w:p w14:paraId="6D913BF4" w14:textId="46348451" w:rsidR="3274C890" w:rsidRDefault="3274C890"/>
        </w:tc>
        <w:tc>
          <w:tcPr>
            <w:tcW w:w="874" w:type="dxa"/>
            <w:tcBorders>
              <w:top w:val="nil"/>
              <w:left w:val="nil"/>
              <w:bottom w:val="nil"/>
              <w:right w:val="nil"/>
            </w:tcBorders>
            <w:tcMar>
              <w:top w:w="15" w:type="dxa"/>
              <w:left w:w="15" w:type="dxa"/>
              <w:right w:w="15" w:type="dxa"/>
            </w:tcMar>
            <w:vAlign w:val="bottom"/>
          </w:tcPr>
          <w:p w14:paraId="1A2B1D07" w14:textId="0205E587" w:rsidR="3274C890" w:rsidRDefault="3274C890" w:rsidP="3274C890">
            <w:pPr>
              <w:jc w:val="center"/>
            </w:pPr>
            <w:r w:rsidRPr="3274C890">
              <w:rPr>
                <w:rFonts w:ascii="Calibri" w:eastAsia="Calibri" w:hAnsi="Calibri" w:cs="Calibri"/>
                <w:b/>
                <w:bCs/>
                <w:color w:val="000000" w:themeColor="text1"/>
                <w:sz w:val="22"/>
                <w:szCs w:val="22"/>
              </w:rPr>
              <w:t>2023-24</w:t>
            </w:r>
          </w:p>
        </w:tc>
        <w:tc>
          <w:tcPr>
            <w:tcW w:w="874" w:type="dxa"/>
            <w:tcBorders>
              <w:top w:val="nil"/>
              <w:left w:val="nil"/>
              <w:bottom w:val="nil"/>
              <w:right w:val="nil"/>
            </w:tcBorders>
            <w:tcMar>
              <w:top w:w="15" w:type="dxa"/>
              <w:left w:w="15" w:type="dxa"/>
              <w:right w:w="15" w:type="dxa"/>
            </w:tcMar>
            <w:vAlign w:val="bottom"/>
          </w:tcPr>
          <w:p w14:paraId="506BDE19" w14:textId="41134094" w:rsidR="3274C890" w:rsidRDefault="3274C890" w:rsidP="3274C890">
            <w:pPr>
              <w:jc w:val="center"/>
            </w:pPr>
            <w:r w:rsidRPr="3274C890">
              <w:rPr>
                <w:rFonts w:ascii="Calibri" w:eastAsia="Calibri" w:hAnsi="Calibri" w:cs="Calibri"/>
                <w:b/>
                <w:bCs/>
                <w:color w:val="000000" w:themeColor="text1"/>
                <w:sz w:val="22"/>
                <w:szCs w:val="22"/>
              </w:rPr>
              <w:t>2024-25</w:t>
            </w:r>
          </w:p>
        </w:tc>
        <w:tc>
          <w:tcPr>
            <w:tcW w:w="874" w:type="dxa"/>
            <w:tcBorders>
              <w:top w:val="nil"/>
              <w:left w:val="nil"/>
              <w:bottom w:val="nil"/>
              <w:right w:val="single" w:sz="8" w:space="0" w:color="auto"/>
            </w:tcBorders>
            <w:tcMar>
              <w:top w:w="15" w:type="dxa"/>
              <w:left w:w="15" w:type="dxa"/>
              <w:right w:w="15" w:type="dxa"/>
            </w:tcMar>
            <w:vAlign w:val="bottom"/>
          </w:tcPr>
          <w:p w14:paraId="73E0433B" w14:textId="5860CE6D" w:rsidR="3274C890" w:rsidRDefault="3274C890" w:rsidP="3274C890">
            <w:pPr>
              <w:jc w:val="center"/>
            </w:pPr>
            <w:r w:rsidRPr="3274C890">
              <w:rPr>
                <w:rFonts w:ascii="Calibri" w:eastAsia="Calibri" w:hAnsi="Calibri" w:cs="Calibri"/>
                <w:b/>
                <w:bCs/>
                <w:color w:val="000000" w:themeColor="text1"/>
                <w:sz w:val="22"/>
                <w:szCs w:val="22"/>
              </w:rPr>
              <w:t>2025-26</w:t>
            </w:r>
          </w:p>
        </w:tc>
        <w:tc>
          <w:tcPr>
            <w:tcW w:w="874" w:type="dxa"/>
            <w:tcBorders>
              <w:top w:val="nil"/>
              <w:left w:val="single" w:sz="8" w:space="0" w:color="auto"/>
              <w:bottom w:val="nil"/>
              <w:right w:val="single" w:sz="8" w:space="0" w:color="auto"/>
            </w:tcBorders>
            <w:tcMar>
              <w:top w:w="15" w:type="dxa"/>
              <w:left w:w="15" w:type="dxa"/>
              <w:right w:w="15" w:type="dxa"/>
            </w:tcMar>
            <w:vAlign w:val="bottom"/>
          </w:tcPr>
          <w:p w14:paraId="5FE572F2" w14:textId="078E9519" w:rsidR="3274C890" w:rsidRDefault="3274C890" w:rsidP="3274C890">
            <w:pPr>
              <w:jc w:val="center"/>
            </w:pPr>
            <w:r w:rsidRPr="3274C890">
              <w:rPr>
                <w:rFonts w:ascii="Calibri" w:eastAsia="Calibri" w:hAnsi="Calibri" w:cs="Calibri"/>
                <w:b/>
                <w:bCs/>
                <w:color w:val="000000" w:themeColor="text1"/>
                <w:sz w:val="22"/>
                <w:szCs w:val="22"/>
              </w:rPr>
              <w:t>2026-27</w:t>
            </w:r>
          </w:p>
        </w:tc>
        <w:tc>
          <w:tcPr>
            <w:tcW w:w="1395" w:type="dxa"/>
            <w:tcBorders>
              <w:top w:val="nil"/>
              <w:left w:val="single" w:sz="8" w:space="0" w:color="auto"/>
              <w:bottom w:val="nil"/>
              <w:right w:val="single" w:sz="8" w:space="0" w:color="auto"/>
            </w:tcBorders>
            <w:tcMar>
              <w:top w:w="15" w:type="dxa"/>
              <w:left w:w="15" w:type="dxa"/>
              <w:right w:w="15" w:type="dxa"/>
            </w:tcMar>
            <w:vAlign w:val="bottom"/>
          </w:tcPr>
          <w:p w14:paraId="11714315" w14:textId="2850F249" w:rsidR="3274C890" w:rsidRDefault="3274C890" w:rsidP="3274C890">
            <w:pPr>
              <w:jc w:val="center"/>
            </w:pPr>
            <w:r w:rsidRPr="3274C890">
              <w:rPr>
                <w:rFonts w:ascii="Calibri" w:eastAsia="Calibri" w:hAnsi="Calibri" w:cs="Calibri"/>
                <w:b/>
                <w:bCs/>
                <w:color w:val="000000" w:themeColor="text1"/>
                <w:sz w:val="22"/>
                <w:szCs w:val="22"/>
              </w:rPr>
              <w:t>2027-28</w:t>
            </w:r>
          </w:p>
        </w:tc>
        <w:tc>
          <w:tcPr>
            <w:tcW w:w="353" w:type="dxa"/>
            <w:vAlign w:val="center"/>
          </w:tcPr>
          <w:p w14:paraId="1B9F4B27" w14:textId="1BE9670D" w:rsidR="3274C890" w:rsidRDefault="3274C890"/>
        </w:tc>
        <w:tc>
          <w:tcPr>
            <w:tcW w:w="874" w:type="dxa"/>
            <w:vAlign w:val="center"/>
          </w:tcPr>
          <w:p w14:paraId="0E0C092A" w14:textId="30F01E80" w:rsidR="3274C890" w:rsidRDefault="3274C890"/>
        </w:tc>
        <w:tc>
          <w:tcPr>
            <w:tcW w:w="874" w:type="dxa"/>
            <w:vAlign w:val="center"/>
          </w:tcPr>
          <w:p w14:paraId="2E2C752C" w14:textId="0007704B" w:rsidR="3274C890" w:rsidRDefault="3274C890"/>
        </w:tc>
      </w:tr>
      <w:tr w:rsidR="3274C890" w14:paraId="6C1366DD" w14:textId="77777777" w:rsidTr="3274C890">
        <w:trPr>
          <w:trHeight w:val="300"/>
        </w:trPr>
        <w:tc>
          <w:tcPr>
            <w:tcW w:w="874" w:type="dxa"/>
            <w:tcBorders>
              <w:top w:val="nil"/>
              <w:left w:val="single" w:sz="8" w:space="0" w:color="auto"/>
              <w:bottom w:val="single" w:sz="8" w:space="0" w:color="auto"/>
              <w:right w:val="nil"/>
            </w:tcBorders>
            <w:tcMar>
              <w:top w:w="15" w:type="dxa"/>
              <w:left w:w="15" w:type="dxa"/>
              <w:right w:w="15" w:type="dxa"/>
            </w:tcMar>
            <w:vAlign w:val="bottom"/>
          </w:tcPr>
          <w:p w14:paraId="47A89E5F" w14:textId="7EE7F60C" w:rsidR="3274C890" w:rsidRDefault="3274C890" w:rsidP="3274C890">
            <w:r w:rsidRPr="3274C890">
              <w:rPr>
                <w:rFonts w:ascii="Calibri" w:eastAsia="Calibri" w:hAnsi="Calibri" w:cs="Calibri"/>
                <w:color w:val="000000" w:themeColor="text1"/>
                <w:sz w:val="22"/>
                <w:szCs w:val="22"/>
              </w:rPr>
              <w:t xml:space="preserve"> </w:t>
            </w:r>
          </w:p>
        </w:tc>
        <w:tc>
          <w:tcPr>
            <w:tcW w:w="874" w:type="dxa"/>
            <w:tcBorders>
              <w:top w:val="nil"/>
              <w:left w:val="nil"/>
              <w:bottom w:val="single" w:sz="8" w:space="0" w:color="auto"/>
              <w:right w:val="nil"/>
            </w:tcBorders>
            <w:tcMar>
              <w:top w:w="15" w:type="dxa"/>
              <w:left w:w="15" w:type="dxa"/>
              <w:right w:w="15" w:type="dxa"/>
            </w:tcMar>
            <w:vAlign w:val="bottom"/>
          </w:tcPr>
          <w:p w14:paraId="1159BEBE" w14:textId="6A31A170" w:rsidR="3274C890" w:rsidRDefault="3274C890" w:rsidP="3274C890">
            <w:r w:rsidRPr="3274C890">
              <w:rPr>
                <w:rFonts w:ascii="Calibri" w:eastAsia="Calibri" w:hAnsi="Calibri" w:cs="Calibri"/>
                <w:color w:val="000000" w:themeColor="text1"/>
                <w:sz w:val="22"/>
                <w:szCs w:val="22"/>
              </w:rPr>
              <w:t xml:space="preserve"> </w:t>
            </w:r>
          </w:p>
        </w:tc>
        <w:tc>
          <w:tcPr>
            <w:tcW w:w="874" w:type="dxa"/>
            <w:tcBorders>
              <w:top w:val="nil"/>
              <w:left w:val="nil"/>
              <w:bottom w:val="single" w:sz="8" w:space="0" w:color="auto"/>
              <w:right w:val="nil"/>
            </w:tcBorders>
            <w:tcMar>
              <w:top w:w="15" w:type="dxa"/>
              <w:left w:w="15" w:type="dxa"/>
              <w:right w:w="15" w:type="dxa"/>
            </w:tcMar>
            <w:vAlign w:val="bottom"/>
          </w:tcPr>
          <w:p w14:paraId="6B17E43C" w14:textId="63CA30F4" w:rsidR="3274C890" w:rsidRDefault="3274C890" w:rsidP="3274C890">
            <w:r w:rsidRPr="3274C890">
              <w:rPr>
                <w:rFonts w:ascii="Calibri" w:eastAsia="Calibri" w:hAnsi="Calibri" w:cs="Calibri"/>
                <w:color w:val="000000" w:themeColor="text1"/>
                <w:sz w:val="22"/>
                <w:szCs w:val="22"/>
              </w:rPr>
              <w:t xml:space="preserve"> </w:t>
            </w:r>
          </w:p>
        </w:tc>
        <w:tc>
          <w:tcPr>
            <w:tcW w:w="874" w:type="dxa"/>
            <w:tcBorders>
              <w:top w:val="nil"/>
              <w:left w:val="nil"/>
              <w:bottom w:val="single" w:sz="8" w:space="0" w:color="auto"/>
              <w:right w:val="nil"/>
            </w:tcBorders>
            <w:tcMar>
              <w:top w:w="15" w:type="dxa"/>
              <w:left w:w="15" w:type="dxa"/>
              <w:right w:w="15" w:type="dxa"/>
            </w:tcMar>
            <w:vAlign w:val="bottom"/>
          </w:tcPr>
          <w:p w14:paraId="28D5976D" w14:textId="76F2807C" w:rsidR="3274C890" w:rsidRDefault="3274C890" w:rsidP="3274C890">
            <w:pPr>
              <w:jc w:val="center"/>
            </w:pPr>
            <w:r w:rsidRPr="3274C890">
              <w:rPr>
                <w:rFonts w:ascii="Calibri" w:eastAsia="Calibri" w:hAnsi="Calibri" w:cs="Calibri"/>
                <w:b/>
                <w:bCs/>
                <w:color w:val="000000" w:themeColor="text1"/>
                <w:sz w:val="22"/>
                <w:szCs w:val="22"/>
              </w:rPr>
              <w:t>£000's</w:t>
            </w:r>
          </w:p>
        </w:tc>
        <w:tc>
          <w:tcPr>
            <w:tcW w:w="874" w:type="dxa"/>
            <w:tcBorders>
              <w:top w:val="nil"/>
              <w:left w:val="nil"/>
              <w:bottom w:val="single" w:sz="8" w:space="0" w:color="auto"/>
              <w:right w:val="nil"/>
            </w:tcBorders>
            <w:tcMar>
              <w:top w:w="15" w:type="dxa"/>
              <w:left w:w="15" w:type="dxa"/>
              <w:right w:w="15" w:type="dxa"/>
            </w:tcMar>
            <w:vAlign w:val="bottom"/>
          </w:tcPr>
          <w:p w14:paraId="43C435D0" w14:textId="7E493E42" w:rsidR="3274C890" w:rsidRDefault="3274C890" w:rsidP="3274C890">
            <w:pPr>
              <w:jc w:val="center"/>
            </w:pPr>
            <w:r w:rsidRPr="3274C890">
              <w:rPr>
                <w:rFonts w:ascii="Calibri" w:eastAsia="Calibri" w:hAnsi="Calibri" w:cs="Calibri"/>
                <w:b/>
                <w:bCs/>
                <w:color w:val="000000" w:themeColor="text1"/>
                <w:sz w:val="22"/>
                <w:szCs w:val="22"/>
              </w:rPr>
              <w:t>£000's</w:t>
            </w:r>
          </w:p>
        </w:tc>
        <w:tc>
          <w:tcPr>
            <w:tcW w:w="874" w:type="dxa"/>
            <w:tcBorders>
              <w:top w:val="nil"/>
              <w:left w:val="nil"/>
              <w:bottom w:val="single" w:sz="8" w:space="0" w:color="auto"/>
              <w:right w:val="single" w:sz="8" w:space="0" w:color="auto"/>
            </w:tcBorders>
            <w:tcMar>
              <w:top w:w="15" w:type="dxa"/>
              <w:left w:w="15" w:type="dxa"/>
              <w:right w:w="15" w:type="dxa"/>
            </w:tcMar>
            <w:vAlign w:val="bottom"/>
          </w:tcPr>
          <w:p w14:paraId="521EF21C" w14:textId="2A5ACEDD" w:rsidR="3274C890" w:rsidRDefault="3274C890" w:rsidP="3274C890">
            <w:pPr>
              <w:jc w:val="center"/>
            </w:pPr>
            <w:r w:rsidRPr="3274C890">
              <w:rPr>
                <w:rFonts w:ascii="Calibri" w:eastAsia="Calibri" w:hAnsi="Calibri" w:cs="Calibri"/>
                <w:b/>
                <w:bCs/>
                <w:color w:val="000000" w:themeColor="text1"/>
                <w:sz w:val="22"/>
                <w:szCs w:val="22"/>
              </w:rPr>
              <w:t>£000's</w:t>
            </w:r>
          </w:p>
        </w:tc>
        <w:tc>
          <w:tcPr>
            <w:tcW w:w="874" w:type="dxa"/>
            <w:tcBorders>
              <w:top w:val="nil"/>
              <w:left w:val="single" w:sz="8" w:space="0" w:color="auto"/>
              <w:bottom w:val="single" w:sz="8" w:space="0" w:color="auto"/>
              <w:right w:val="single" w:sz="8" w:space="0" w:color="auto"/>
            </w:tcBorders>
            <w:tcMar>
              <w:top w:w="15" w:type="dxa"/>
              <w:left w:w="15" w:type="dxa"/>
              <w:right w:w="15" w:type="dxa"/>
            </w:tcMar>
            <w:vAlign w:val="bottom"/>
          </w:tcPr>
          <w:p w14:paraId="62D6210E" w14:textId="0A26E005" w:rsidR="3274C890" w:rsidRDefault="3274C890" w:rsidP="3274C890">
            <w:pPr>
              <w:jc w:val="center"/>
            </w:pPr>
            <w:r w:rsidRPr="3274C890">
              <w:rPr>
                <w:rFonts w:ascii="Calibri" w:eastAsia="Calibri" w:hAnsi="Calibri" w:cs="Calibri"/>
                <w:b/>
                <w:bCs/>
                <w:color w:val="000000" w:themeColor="text1"/>
                <w:sz w:val="22"/>
                <w:szCs w:val="22"/>
              </w:rPr>
              <w:t>£000's</w:t>
            </w:r>
          </w:p>
        </w:tc>
        <w:tc>
          <w:tcPr>
            <w:tcW w:w="1395" w:type="dxa"/>
            <w:tcBorders>
              <w:top w:val="nil"/>
              <w:left w:val="single" w:sz="8" w:space="0" w:color="auto"/>
              <w:bottom w:val="single" w:sz="8" w:space="0" w:color="auto"/>
              <w:right w:val="single" w:sz="8" w:space="0" w:color="auto"/>
            </w:tcBorders>
            <w:tcMar>
              <w:top w:w="15" w:type="dxa"/>
              <w:left w:w="15" w:type="dxa"/>
              <w:right w:w="15" w:type="dxa"/>
            </w:tcMar>
            <w:vAlign w:val="bottom"/>
          </w:tcPr>
          <w:p w14:paraId="6D16D748" w14:textId="319C3580" w:rsidR="3274C890" w:rsidRDefault="3274C890" w:rsidP="3274C890">
            <w:pPr>
              <w:jc w:val="center"/>
            </w:pPr>
            <w:r w:rsidRPr="3274C890">
              <w:rPr>
                <w:rFonts w:ascii="Calibri" w:eastAsia="Calibri" w:hAnsi="Calibri" w:cs="Calibri"/>
                <w:b/>
                <w:bCs/>
                <w:color w:val="000000" w:themeColor="text1"/>
                <w:sz w:val="22"/>
                <w:szCs w:val="22"/>
              </w:rPr>
              <w:t>£000's</w:t>
            </w:r>
          </w:p>
        </w:tc>
        <w:tc>
          <w:tcPr>
            <w:tcW w:w="353" w:type="dxa"/>
            <w:vAlign w:val="center"/>
          </w:tcPr>
          <w:p w14:paraId="4229650B" w14:textId="31CDBBF4" w:rsidR="3274C890" w:rsidRDefault="3274C890"/>
        </w:tc>
        <w:tc>
          <w:tcPr>
            <w:tcW w:w="874" w:type="dxa"/>
            <w:vAlign w:val="center"/>
          </w:tcPr>
          <w:p w14:paraId="78A71079" w14:textId="66AEE9D8" w:rsidR="3274C890" w:rsidRDefault="3274C890"/>
        </w:tc>
        <w:tc>
          <w:tcPr>
            <w:tcW w:w="874" w:type="dxa"/>
            <w:vAlign w:val="center"/>
          </w:tcPr>
          <w:p w14:paraId="6AEBDEDA" w14:textId="378D2C78" w:rsidR="3274C890" w:rsidRDefault="3274C890"/>
        </w:tc>
      </w:tr>
      <w:tr w:rsidR="3274C890" w14:paraId="54C50E14" w14:textId="77777777" w:rsidTr="3274C890">
        <w:trPr>
          <w:trHeight w:val="285"/>
        </w:trPr>
        <w:tc>
          <w:tcPr>
            <w:tcW w:w="1748" w:type="dxa"/>
            <w:gridSpan w:val="2"/>
            <w:tcBorders>
              <w:top w:val="single" w:sz="8" w:space="0" w:color="auto"/>
              <w:left w:val="single" w:sz="8" w:space="0" w:color="auto"/>
              <w:bottom w:val="nil"/>
              <w:right w:val="nil"/>
            </w:tcBorders>
            <w:tcMar>
              <w:top w:w="15" w:type="dxa"/>
              <w:left w:w="15" w:type="dxa"/>
              <w:right w:w="15" w:type="dxa"/>
            </w:tcMar>
            <w:vAlign w:val="bottom"/>
          </w:tcPr>
          <w:p w14:paraId="3228F719" w14:textId="51903D8D" w:rsidR="3274C890" w:rsidRDefault="3274C890" w:rsidP="3274C890">
            <w:r w:rsidRPr="3274C890">
              <w:rPr>
                <w:rFonts w:ascii="Calibri" w:eastAsia="Calibri" w:hAnsi="Calibri" w:cs="Calibri"/>
                <w:color w:val="000000" w:themeColor="text1"/>
                <w:sz w:val="22"/>
                <w:szCs w:val="22"/>
              </w:rPr>
              <w:t>Profit after tax</w:t>
            </w:r>
          </w:p>
        </w:tc>
        <w:tc>
          <w:tcPr>
            <w:tcW w:w="874" w:type="dxa"/>
            <w:tcBorders>
              <w:top w:val="single" w:sz="8" w:space="0" w:color="auto"/>
              <w:left w:val="nil"/>
              <w:bottom w:val="nil"/>
              <w:right w:val="nil"/>
            </w:tcBorders>
            <w:tcMar>
              <w:top w:w="15" w:type="dxa"/>
              <w:left w:w="15" w:type="dxa"/>
              <w:right w:w="15" w:type="dxa"/>
            </w:tcMar>
            <w:vAlign w:val="bottom"/>
          </w:tcPr>
          <w:p w14:paraId="258CF6FA" w14:textId="427AF64D" w:rsidR="3274C890" w:rsidRDefault="3274C890"/>
        </w:tc>
        <w:tc>
          <w:tcPr>
            <w:tcW w:w="874" w:type="dxa"/>
            <w:tcBorders>
              <w:top w:val="single" w:sz="8" w:space="0" w:color="auto"/>
              <w:left w:val="nil"/>
              <w:bottom w:val="nil"/>
              <w:right w:val="nil"/>
            </w:tcBorders>
            <w:tcMar>
              <w:top w:w="15" w:type="dxa"/>
              <w:left w:w="15" w:type="dxa"/>
              <w:right w:w="15" w:type="dxa"/>
            </w:tcMar>
            <w:vAlign w:val="bottom"/>
          </w:tcPr>
          <w:p w14:paraId="561FE211" w14:textId="6DC1554E" w:rsidR="3274C890" w:rsidRDefault="3274C890"/>
        </w:tc>
        <w:tc>
          <w:tcPr>
            <w:tcW w:w="874" w:type="dxa"/>
            <w:tcBorders>
              <w:top w:val="single" w:sz="8" w:space="0" w:color="auto"/>
              <w:left w:val="nil"/>
              <w:bottom w:val="nil"/>
              <w:right w:val="nil"/>
            </w:tcBorders>
            <w:tcMar>
              <w:top w:w="15" w:type="dxa"/>
              <w:left w:w="15" w:type="dxa"/>
              <w:right w:w="15" w:type="dxa"/>
            </w:tcMar>
            <w:vAlign w:val="bottom"/>
          </w:tcPr>
          <w:p w14:paraId="05266253" w14:textId="0764BC88" w:rsidR="3274C890" w:rsidRDefault="3274C890"/>
        </w:tc>
        <w:tc>
          <w:tcPr>
            <w:tcW w:w="874" w:type="dxa"/>
            <w:tcBorders>
              <w:top w:val="single" w:sz="8" w:space="0" w:color="auto"/>
              <w:left w:val="nil"/>
              <w:bottom w:val="nil"/>
              <w:right w:val="single" w:sz="8" w:space="0" w:color="auto"/>
            </w:tcBorders>
            <w:tcMar>
              <w:top w:w="15" w:type="dxa"/>
              <w:left w:w="15" w:type="dxa"/>
              <w:right w:w="15" w:type="dxa"/>
            </w:tcMar>
            <w:vAlign w:val="bottom"/>
          </w:tcPr>
          <w:p w14:paraId="54C573CB" w14:textId="7C544B0A" w:rsidR="3274C890" w:rsidRDefault="3274C890" w:rsidP="3274C890">
            <w:r w:rsidRPr="3274C890">
              <w:rPr>
                <w:rFonts w:ascii="Calibri" w:eastAsia="Calibri" w:hAnsi="Calibri" w:cs="Calibri"/>
                <w:color w:val="000000" w:themeColor="text1"/>
                <w:sz w:val="22"/>
                <w:szCs w:val="22"/>
              </w:rPr>
              <w:t xml:space="preserve"> </w:t>
            </w:r>
          </w:p>
        </w:tc>
        <w:tc>
          <w:tcPr>
            <w:tcW w:w="874"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7F0ABC1E" w14:textId="6FC17A31" w:rsidR="3274C890" w:rsidRDefault="3274C890" w:rsidP="3274C890">
            <w:r w:rsidRPr="3274C890">
              <w:rPr>
                <w:rFonts w:ascii="Calibri" w:eastAsia="Calibri" w:hAnsi="Calibri" w:cs="Calibri"/>
                <w:color w:val="000000" w:themeColor="text1"/>
                <w:sz w:val="22"/>
                <w:szCs w:val="22"/>
              </w:rPr>
              <w:t xml:space="preserve"> </w:t>
            </w:r>
          </w:p>
        </w:tc>
        <w:tc>
          <w:tcPr>
            <w:tcW w:w="1395"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6EC2AD15" w14:textId="69305762" w:rsidR="3274C890" w:rsidRDefault="3274C890" w:rsidP="3274C890">
            <w:r w:rsidRPr="3274C890">
              <w:rPr>
                <w:rFonts w:ascii="Calibri" w:eastAsia="Calibri" w:hAnsi="Calibri" w:cs="Calibri"/>
                <w:color w:val="000000" w:themeColor="text1"/>
                <w:sz w:val="22"/>
                <w:szCs w:val="22"/>
              </w:rPr>
              <w:t xml:space="preserve"> </w:t>
            </w:r>
          </w:p>
        </w:tc>
        <w:tc>
          <w:tcPr>
            <w:tcW w:w="353" w:type="dxa"/>
            <w:vAlign w:val="center"/>
          </w:tcPr>
          <w:p w14:paraId="1E0653E8" w14:textId="3EC61F18" w:rsidR="3274C890" w:rsidRDefault="3274C890"/>
        </w:tc>
        <w:tc>
          <w:tcPr>
            <w:tcW w:w="874" w:type="dxa"/>
            <w:vAlign w:val="center"/>
          </w:tcPr>
          <w:p w14:paraId="3984D122" w14:textId="0935134F" w:rsidR="3274C890" w:rsidRDefault="3274C890"/>
        </w:tc>
        <w:tc>
          <w:tcPr>
            <w:tcW w:w="874" w:type="dxa"/>
            <w:vAlign w:val="center"/>
          </w:tcPr>
          <w:p w14:paraId="639C0746" w14:textId="6D89568C" w:rsidR="3274C890" w:rsidRDefault="3274C890"/>
        </w:tc>
      </w:tr>
      <w:tr w:rsidR="3274C890" w14:paraId="0DA75B6B" w14:textId="77777777" w:rsidTr="3274C890">
        <w:trPr>
          <w:trHeight w:val="285"/>
        </w:trPr>
        <w:tc>
          <w:tcPr>
            <w:tcW w:w="874" w:type="dxa"/>
            <w:tcBorders>
              <w:top w:val="nil"/>
              <w:left w:val="single" w:sz="8" w:space="0" w:color="auto"/>
              <w:bottom w:val="nil"/>
              <w:right w:val="nil"/>
            </w:tcBorders>
            <w:tcMar>
              <w:top w:w="15" w:type="dxa"/>
              <w:left w:w="15" w:type="dxa"/>
              <w:right w:w="15" w:type="dxa"/>
            </w:tcMar>
            <w:vAlign w:val="bottom"/>
          </w:tcPr>
          <w:p w14:paraId="2C0C7EDA" w14:textId="1733FC77" w:rsidR="3274C890" w:rsidRDefault="3274C890" w:rsidP="3274C890">
            <w:r w:rsidRPr="3274C890">
              <w:rPr>
                <w:rFonts w:ascii="Calibri" w:eastAsia="Calibri" w:hAnsi="Calibri" w:cs="Calibri"/>
                <w:color w:val="000000" w:themeColor="text1"/>
                <w:sz w:val="22"/>
                <w:szCs w:val="22"/>
              </w:rPr>
              <w:t xml:space="preserve"> </w:t>
            </w:r>
          </w:p>
        </w:tc>
        <w:tc>
          <w:tcPr>
            <w:tcW w:w="874" w:type="dxa"/>
            <w:tcBorders>
              <w:top w:val="nil"/>
              <w:left w:val="nil"/>
              <w:bottom w:val="nil"/>
              <w:right w:val="nil"/>
            </w:tcBorders>
            <w:tcMar>
              <w:top w:w="15" w:type="dxa"/>
              <w:left w:w="15" w:type="dxa"/>
              <w:right w:w="15" w:type="dxa"/>
            </w:tcMar>
            <w:vAlign w:val="bottom"/>
          </w:tcPr>
          <w:p w14:paraId="4029E87F" w14:textId="0F55F58C" w:rsidR="3274C890" w:rsidRDefault="3274C890" w:rsidP="3274C890">
            <w:r w:rsidRPr="3274C890">
              <w:rPr>
                <w:rFonts w:ascii="Calibri" w:eastAsia="Calibri" w:hAnsi="Calibri" w:cs="Calibri"/>
                <w:color w:val="000000" w:themeColor="text1"/>
                <w:sz w:val="22"/>
                <w:szCs w:val="22"/>
              </w:rPr>
              <w:t>ODS</w:t>
            </w:r>
          </w:p>
        </w:tc>
        <w:tc>
          <w:tcPr>
            <w:tcW w:w="874" w:type="dxa"/>
            <w:tcBorders>
              <w:top w:val="nil"/>
              <w:left w:val="nil"/>
              <w:bottom w:val="nil"/>
              <w:right w:val="nil"/>
            </w:tcBorders>
            <w:tcMar>
              <w:top w:w="15" w:type="dxa"/>
              <w:left w:w="15" w:type="dxa"/>
              <w:right w:w="15" w:type="dxa"/>
            </w:tcMar>
            <w:vAlign w:val="bottom"/>
          </w:tcPr>
          <w:p w14:paraId="6C13475D" w14:textId="2B794B2C" w:rsidR="3274C890" w:rsidRDefault="3274C890"/>
        </w:tc>
        <w:tc>
          <w:tcPr>
            <w:tcW w:w="874" w:type="dxa"/>
            <w:tcBorders>
              <w:top w:val="nil"/>
              <w:left w:val="nil"/>
              <w:bottom w:val="nil"/>
              <w:right w:val="nil"/>
            </w:tcBorders>
            <w:tcMar>
              <w:top w:w="15" w:type="dxa"/>
              <w:left w:w="15" w:type="dxa"/>
              <w:right w:w="15" w:type="dxa"/>
            </w:tcMar>
            <w:vAlign w:val="bottom"/>
          </w:tcPr>
          <w:p w14:paraId="31D9EA78" w14:textId="211E57BE" w:rsidR="3274C890" w:rsidRDefault="3274C890" w:rsidP="3274C890">
            <w:r w:rsidRPr="3274C890">
              <w:rPr>
                <w:rFonts w:ascii="Calibri" w:eastAsia="Calibri" w:hAnsi="Calibri" w:cs="Calibri"/>
                <w:color w:val="000000" w:themeColor="text1"/>
                <w:sz w:val="22"/>
                <w:szCs w:val="22"/>
              </w:rPr>
              <w:t>1,862</w:t>
            </w:r>
          </w:p>
        </w:tc>
        <w:tc>
          <w:tcPr>
            <w:tcW w:w="874" w:type="dxa"/>
            <w:tcBorders>
              <w:top w:val="nil"/>
              <w:left w:val="nil"/>
              <w:bottom w:val="nil"/>
              <w:right w:val="nil"/>
            </w:tcBorders>
            <w:tcMar>
              <w:top w:w="15" w:type="dxa"/>
              <w:left w:w="15" w:type="dxa"/>
              <w:right w:w="15" w:type="dxa"/>
            </w:tcMar>
            <w:vAlign w:val="bottom"/>
          </w:tcPr>
          <w:p w14:paraId="6C4C4580" w14:textId="7F0E43EC" w:rsidR="3274C890" w:rsidRDefault="3274C890" w:rsidP="3274C890">
            <w:r w:rsidRPr="3274C890">
              <w:rPr>
                <w:rFonts w:ascii="Calibri" w:eastAsia="Calibri" w:hAnsi="Calibri" w:cs="Calibri"/>
                <w:color w:val="000000" w:themeColor="text1"/>
                <w:sz w:val="22"/>
                <w:szCs w:val="22"/>
              </w:rPr>
              <w:t>1,862</w:t>
            </w:r>
          </w:p>
        </w:tc>
        <w:tc>
          <w:tcPr>
            <w:tcW w:w="874" w:type="dxa"/>
            <w:tcBorders>
              <w:top w:val="nil"/>
              <w:left w:val="nil"/>
              <w:bottom w:val="nil"/>
              <w:right w:val="single" w:sz="8" w:space="0" w:color="auto"/>
            </w:tcBorders>
            <w:tcMar>
              <w:top w:w="15" w:type="dxa"/>
              <w:left w:w="15" w:type="dxa"/>
              <w:right w:w="15" w:type="dxa"/>
            </w:tcMar>
            <w:vAlign w:val="bottom"/>
          </w:tcPr>
          <w:p w14:paraId="5FED0E32" w14:textId="3A2B5AB3" w:rsidR="3274C890" w:rsidRDefault="3274C890" w:rsidP="3274C890">
            <w:r w:rsidRPr="3274C890">
              <w:rPr>
                <w:rFonts w:ascii="Calibri" w:eastAsia="Calibri" w:hAnsi="Calibri" w:cs="Calibri"/>
                <w:color w:val="000000" w:themeColor="text1"/>
                <w:sz w:val="22"/>
                <w:szCs w:val="22"/>
              </w:rPr>
              <w:t>1,862</w:t>
            </w:r>
          </w:p>
        </w:tc>
        <w:tc>
          <w:tcPr>
            <w:tcW w:w="874" w:type="dxa"/>
            <w:tcBorders>
              <w:top w:val="nil"/>
              <w:left w:val="single" w:sz="8" w:space="0" w:color="auto"/>
              <w:bottom w:val="nil"/>
              <w:right w:val="single" w:sz="8" w:space="0" w:color="auto"/>
            </w:tcBorders>
            <w:tcMar>
              <w:top w:w="15" w:type="dxa"/>
              <w:left w:w="15" w:type="dxa"/>
              <w:right w:w="15" w:type="dxa"/>
            </w:tcMar>
            <w:vAlign w:val="bottom"/>
          </w:tcPr>
          <w:p w14:paraId="4E1B1B2F" w14:textId="6EEE585C" w:rsidR="3274C890" w:rsidRDefault="3274C890" w:rsidP="3274C890">
            <w:r w:rsidRPr="3274C890">
              <w:rPr>
                <w:rFonts w:ascii="Calibri" w:eastAsia="Calibri" w:hAnsi="Calibri" w:cs="Calibri"/>
                <w:color w:val="000000" w:themeColor="text1"/>
                <w:sz w:val="22"/>
                <w:szCs w:val="22"/>
              </w:rPr>
              <w:t>1,862</w:t>
            </w:r>
          </w:p>
        </w:tc>
        <w:tc>
          <w:tcPr>
            <w:tcW w:w="1395" w:type="dxa"/>
            <w:tcBorders>
              <w:top w:val="nil"/>
              <w:left w:val="single" w:sz="8" w:space="0" w:color="auto"/>
              <w:bottom w:val="nil"/>
              <w:right w:val="single" w:sz="8" w:space="0" w:color="auto"/>
            </w:tcBorders>
            <w:tcMar>
              <w:top w:w="15" w:type="dxa"/>
              <w:left w:w="15" w:type="dxa"/>
              <w:right w:w="15" w:type="dxa"/>
            </w:tcMar>
            <w:vAlign w:val="bottom"/>
          </w:tcPr>
          <w:p w14:paraId="57AC7366" w14:textId="7B449E4F" w:rsidR="3274C890" w:rsidRDefault="3274C890" w:rsidP="3274C890">
            <w:r w:rsidRPr="3274C890">
              <w:rPr>
                <w:rFonts w:ascii="Calibri" w:eastAsia="Calibri" w:hAnsi="Calibri" w:cs="Calibri"/>
                <w:color w:val="000000" w:themeColor="text1"/>
                <w:sz w:val="22"/>
                <w:szCs w:val="22"/>
              </w:rPr>
              <w:t>1,862</w:t>
            </w:r>
          </w:p>
        </w:tc>
        <w:tc>
          <w:tcPr>
            <w:tcW w:w="353" w:type="dxa"/>
            <w:vAlign w:val="center"/>
          </w:tcPr>
          <w:p w14:paraId="5E8E3CFA" w14:textId="137211A6" w:rsidR="3274C890" w:rsidRDefault="3274C890"/>
        </w:tc>
        <w:tc>
          <w:tcPr>
            <w:tcW w:w="874" w:type="dxa"/>
            <w:vAlign w:val="center"/>
          </w:tcPr>
          <w:p w14:paraId="2FA95AEC" w14:textId="6E948210" w:rsidR="3274C890" w:rsidRDefault="3274C890"/>
        </w:tc>
        <w:tc>
          <w:tcPr>
            <w:tcW w:w="874" w:type="dxa"/>
            <w:vAlign w:val="center"/>
          </w:tcPr>
          <w:p w14:paraId="50D6AEA5" w14:textId="381E9508" w:rsidR="3274C890" w:rsidRDefault="3274C890"/>
        </w:tc>
      </w:tr>
      <w:tr w:rsidR="3274C890" w14:paraId="017E5DB1" w14:textId="77777777" w:rsidTr="3274C890">
        <w:trPr>
          <w:trHeight w:val="285"/>
        </w:trPr>
        <w:tc>
          <w:tcPr>
            <w:tcW w:w="874" w:type="dxa"/>
            <w:tcBorders>
              <w:top w:val="nil"/>
              <w:left w:val="single" w:sz="8" w:space="0" w:color="auto"/>
              <w:bottom w:val="nil"/>
              <w:right w:val="nil"/>
            </w:tcBorders>
            <w:tcMar>
              <w:top w:w="15" w:type="dxa"/>
              <w:left w:w="15" w:type="dxa"/>
              <w:right w:w="15" w:type="dxa"/>
            </w:tcMar>
            <w:vAlign w:val="bottom"/>
          </w:tcPr>
          <w:p w14:paraId="6BBD1E97" w14:textId="20F19ED9" w:rsidR="3274C890" w:rsidRDefault="3274C890" w:rsidP="3274C890">
            <w:r w:rsidRPr="3274C890">
              <w:rPr>
                <w:rFonts w:ascii="Calibri" w:eastAsia="Calibri" w:hAnsi="Calibri" w:cs="Calibri"/>
                <w:color w:val="000000" w:themeColor="text1"/>
                <w:sz w:val="22"/>
                <w:szCs w:val="22"/>
              </w:rPr>
              <w:t xml:space="preserve"> </w:t>
            </w:r>
          </w:p>
        </w:tc>
        <w:tc>
          <w:tcPr>
            <w:tcW w:w="874" w:type="dxa"/>
            <w:tcBorders>
              <w:top w:val="nil"/>
              <w:left w:val="nil"/>
              <w:bottom w:val="nil"/>
              <w:right w:val="nil"/>
            </w:tcBorders>
            <w:tcMar>
              <w:top w:w="15" w:type="dxa"/>
              <w:left w:w="15" w:type="dxa"/>
              <w:right w:w="15" w:type="dxa"/>
            </w:tcMar>
            <w:vAlign w:val="bottom"/>
          </w:tcPr>
          <w:p w14:paraId="64E15848" w14:textId="27DDBC03" w:rsidR="3274C890" w:rsidRDefault="3274C890" w:rsidP="3274C890">
            <w:r w:rsidRPr="3274C890">
              <w:rPr>
                <w:rFonts w:ascii="Calibri" w:eastAsia="Calibri" w:hAnsi="Calibri" w:cs="Calibri"/>
                <w:color w:val="000000" w:themeColor="text1"/>
                <w:sz w:val="22"/>
                <w:szCs w:val="22"/>
              </w:rPr>
              <w:t>ODSTL</w:t>
            </w:r>
          </w:p>
        </w:tc>
        <w:tc>
          <w:tcPr>
            <w:tcW w:w="874" w:type="dxa"/>
            <w:tcBorders>
              <w:top w:val="nil"/>
              <w:left w:val="nil"/>
              <w:bottom w:val="nil"/>
              <w:right w:val="nil"/>
            </w:tcBorders>
            <w:tcMar>
              <w:top w:w="15" w:type="dxa"/>
              <w:left w:w="15" w:type="dxa"/>
              <w:right w:w="15" w:type="dxa"/>
            </w:tcMar>
            <w:vAlign w:val="bottom"/>
          </w:tcPr>
          <w:p w14:paraId="4E18C880" w14:textId="76ECB58C" w:rsidR="3274C890" w:rsidRDefault="3274C890"/>
        </w:tc>
        <w:tc>
          <w:tcPr>
            <w:tcW w:w="874" w:type="dxa"/>
            <w:tcBorders>
              <w:top w:val="nil"/>
              <w:left w:val="nil"/>
              <w:bottom w:val="nil"/>
              <w:right w:val="nil"/>
            </w:tcBorders>
            <w:tcMar>
              <w:top w:w="15" w:type="dxa"/>
              <w:left w:w="15" w:type="dxa"/>
              <w:right w:w="15" w:type="dxa"/>
            </w:tcMar>
            <w:vAlign w:val="bottom"/>
          </w:tcPr>
          <w:p w14:paraId="7F6A0887" w14:textId="6D096B39" w:rsidR="3274C890" w:rsidRDefault="3274C890" w:rsidP="3274C890">
            <w:r w:rsidRPr="3274C890">
              <w:rPr>
                <w:rFonts w:ascii="Calibri" w:eastAsia="Calibri" w:hAnsi="Calibri" w:cs="Calibri"/>
                <w:color w:val="000000" w:themeColor="text1"/>
                <w:sz w:val="22"/>
                <w:szCs w:val="22"/>
              </w:rPr>
              <w:t>809</w:t>
            </w:r>
          </w:p>
        </w:tc>
        <w:tc>
          <w:tcPr>
            <w:tcW w:w="874" w:type="dxa"/>
            <w:tcBorders>
              <w:top w:val="nil"/>
              <w:left w:val="nil"/>
              <w:bottom w:val="nil"/>
              <w:right w:val="nil"/>
            </w:tcBorders>
            <w:tcMar>
              <w:top w:w="15" w:type="dxa"/>
              <w:left w:w="15" w:type="dxa"/>
              <w:right w:w="15" w:type="dxa"/>
            </w:tcMar>
            <w:vAlign w:val="bottom"/>
          </w:tcPr>
          <w:p w14:paraId="5BB533CB" w14:textId="2D80D222" w:rsidR="3274C890" w:rsidRDefault="3274C890" w:rsidP="3274C890">
            <w:r w:rsidRPr="3274C890">
              <w:rPr>
                <w:rFonts w:ascii="Calibri" w:eastAsia="Calibri" w:hAnsi="Calibri" w:cs="Calibri"/>
                <w:color w:val="000000" w:themeColor="text1"/>
                <w:sz w:val="22"/>
                <w:szCs w:val="22"/>
              </w:rPr>
              <w:t>861</w:t>
            </w:r>
          </w:p>
        </w:tc>
        <w:tc>
          <w:tcPr>
            <w:tcW w:w="874" w:type="dxa"/>
            <w:tcBorders>
              <w:top w:val="nil"/>
              <w:left w:val="nil"/>
              <w:bottom w:val="nil"/>
              <w:right w:val="single" w:sz="8" w:space="0" w:color="auto"/>
            </w:tcBorders>
            <w:tcMar>
              <w:top w:w="15" w:type="dxa"/>
              <w:left w:w="15" w:type="dxa"/>
              <w:right w:w="15" w:type="dxa"/>
            </w:tcMar>
            <w:vAlign w:val="bottom"/>
          </w:tcPr>
          <w:p w14:paraId="605CF211" w14:textId="1D300F65" w:rsidR="3274C890" w:rsidRDefault="3274C890" w:rsidP="3274C890">
            <w:r w:rsidRPr="3274C890">
              <w:rPr>
                <w:rFonts w:ascii="Calibri" w:eastAsia="Calibri" w:hAnsi="Calibri" w:cs="Calibri"/>
                <w:color w:val="000000" w:themeColor="text1"/>
                <w:sz w:val="22"/>
                <w:szCs w:val="22"/>
              </w:rPr>
              <w:t>1,831</w:t>
            </w:r>
          </w:p>
        </w:tc>
        <w:tc>
          <w:tcPr>
            <w:tcW w:w="874" w:type="dxa"/>
            <w:tcBorders>
              <w:top w:val="nil"/>
              <w:left w:val="single" w:sz="8" w:space="0" w:color="auto"/>
              <w:bottom w:val="nil"/>
              <w:right w:val="single" w:sz="8" w:space="0" w:color="auto"/>
            </w:tcBorders>
            <w:tcMar>
              <w:top w:w="15" w:type="dxa"/>
              <w:left w:w="15" w:type="dxa"/>
              <w:right w:w="15" w:type="dxa"/>
            </w:tcMar>
            <w:vAlign w:val="bottom"/>
          </w:tcPr>
          <w:p w14:paraId="76DD076B" w14:textId="0B511299" w:rsidR="3274C890" w:rsidRDefault="3274C890" w:rsidP="3274C890">
            <w:r w:rsidRPr="3274C890">
              <w:rPr>
                <w:rFonts w:ascii="Calibri" w:eastAsia="Calibri" w:hAnsi="Calibri" w:cs="Calibri"/>
                <w:color w:val="000000" w:themeColor="text1"/>
                <w:sz w:val="22"/>
                <w:szCs w:val="22"/>
              </w:rPr>
              <w:t>2,577</w:t>
            </w:r>
          </w:p>
        </w:tc>
        <w:tc>
          <w:tcPr>
            <w:tcW w:w="1395" w:type="dxa"/>
            <w:tcBorders>
              <w:top w:val="nil"/>
              <w:left w:val="single" w:sz="8" w:space="0" w:color="auto"/>
              <w:bottom w:val="nil"/>
              <w:right w:val="single" w:sz="8" w:space="0" w:color="auto"/>
            </w:tcBorders>
            <w:tcMar>
              <w:top w:w="15" w:type="dxa"/>
              <w:left w:w="15" w:type="dxa"/>
              <w:right w:w="15" w:type="dxa"/>
            </w:tcMar>
            <w:vAlign w:val="bottom"/>
          </w:tcPr>
          <w:p w14:paraId="459A99F3" w14:textId="118984FC" w:rsidR="3274C890" w:rsidRDefault="3274C890" w:rsidP="3274C890">
            <w:r w:rsidRPr="3274C890">
              <w:rPr>
                <w:rFonts w:ascii="Calibri" w:eastAsia="Calibri" w:hAnsi="Calibri" w:cs="Calibri"/>
                <w:color w:val="000000" w:themeColor="text1"/>
                <w:sz w:val="22"/>
                <w:szCs w:val="22"/>
              </w:rPr>
              <w:t>3,245</w:t>
            </w:r>
          </w:p>
        </w:tc>
        <w:tc>
          <w:tcPr>
            <w:tcW w:w="353" w:type="dxa"/>
            <w:vAlign w:val="center"/>
          </w:tcPr>
          <w:p w14:paraId="7F20F908" w14:textId="383637CA" w:rsidR="3274C890" w:rsidRDefault="3274C890"/>
        </w:tc>
        <w:tc>
          <w:tcPr>
            <w:tcW w:w="874" w:type="dxa"/>
            <w:vAlign w:val="center"/>
          </w:tcPr>
          <w:p w14:paraId="3D632DA8" w14:textId="2CE39A82" w:rsidR="3274C890" w:rsidRDefault="3274C890"/>
        </w:tc>
        <w:tc>
          <w:tcPr>
            <w:tcW w:w="874" w:type="dxa"/>
            <w:vAlign w:val="center"/>
          </w:tcPr>
          <w:p w14:paraId="5F26433C" w14:textId="1B808553" w:rsidR="3274C890" w:rsidRDefault="3274C890"/>
        </w:tc>
      </w:tr>
      <w:tr w:rsidR="3274C890" w14:paraId="1C946D21" w14:textId="77777777" w:rsidTr="3274C890">
        <w:trPr>
          <w:trHeight w:val="300"/>
        </w:trPr>
        <w:tc>
          <w:tcPr>
            <w:tcW w:w="874" w:type="dxa"/>
            <w:tcBorders>
              <w:top w:val="nil"/>
              <w:left w:val="single" w:sz="8" w:space="0" w:color="auto"/>
              <w:bottom w:val="nil"/>
              <w:right w:val="nil"/>
            </w:tcBorders>
            <w:tcMar>
              <w:top w:w="15" w:type="dxa"/>
              <w:left w:w="15" w:type="dxa"/>
              <w:right w:w="15" w:type="dxa"/>
            </w:tcMar>
            <w:vAlign w:val="bottom"/>
          </w:tcPr>
          <w:p w14:paraId="7CED6C3C" w14:textId="57D4EAA5" w:rsidR="3274C890" w:rsidRDefault="3274C890" w:rsidP="3274C890">
            <w:r w:rsidRPr="3274C890">
              <w:rPr>
                <w:rFonts w:ascii="Calibri" w:eastAsia="Calibri" w:hAnsi="Calibri" w:cs="Calibri"/>
                <w:color w:val="000000" w:themeColor="text1"/>
                <w:sz w:val="22"/>
                <w:szCs w:val="22"/>
              </w:rPr>
              <w:t xml:space="preserve"> </w:t>
            </w:r>
          </w:p>
        </w:tc>
        <w:tc>
          <w:tcPr>
            <w:tcW w:w="1748" w:type="dxa"/>
            <w:gridSpan w:val="2"/>
            <w:tcBorders>
              <w:top w:val="nil"/>
              <w:left w:val="nil"/>
              <w:bottom w:val="nil"/>
              <w:right w:val="nil"/>
            </w:tcBorders>
            <w:tcMar>
              <w:top w:w="15" w:type="dxa"/>
              <w:left w:w="15" w:type="dxa"/>
              <w:right w:w="15" w:type="dxa"/>
            </w:tcMar>
            <w:vAlign w:val="bottom"/>
          </w:tcPr>
          <w:p w14:paraId="7A33B5C3" w14:textId="649858FB" w:rsidR="3274C890" w:rsidRDefault="3274C890" w:rsidP="3274C890">
            <w:r w:rsidRPr="3274C890">
              <w:rPr>
                <w:rFonts w:ascii="Calibri" w:eastAsia="Calibri" w:hAnsi="Calibri" w:cs="Calibri"/>
                <w:color w:val="000000" w:themeColor="text1"/>
                <w:sz w:val="22"/>
                <w:szCs w:val="22"/>
              </w:rPr>
              <w:t>Total surplus</w:t>
            </w:r>
          </w:p>
        </w:tc>
        <w:tc>
          <w:tcPr>
            <w:tcW w:w="874" w:type="dxa"/>
            <w:tcBorders>
              <w:top w:val="nil"/>
              <w:left w:val="nil"/>
              <w:bottom w:val="single" w:sz="8" w:space="0" w:color="auto"/>
              <w:right w:val="nil"/>
            </w:tcBorders>
            <w:tcMar>
              <w:top w:w="15" w:type="dxa"/>
              <w:left w:w="15" w:type="dxa"/>
              <w:right w:w="15" w:type="dxa"/>
            </w:tcMar>
            <w:vAlign w:val="bottom"/>
          </w:tcPr>
          <w:p w14:paraId="68FBACBB" w14:textId="2CF386EE" w:rsidR="3274C890" w:rsidRDefault="3274C890" w:rsidP="3274C890">
            <w:r w:rsidRPr="3274C890">
              <w:rPr>
                <w:rFonts w:ascii="Calibri" w:eastAsia="Calibri" w:hAnsi="Calibri" w:cs="Calibri"/>
                <w:b/>
                <w:bCs/>
                <w:color w:val="000000" w:themeColor="text1"/>
                <w:sz w:val="22"/>
                <w:szCs w:val="22"/>
              </w:rPr>
              <w:t>2,671</w:t>
            </w:r>
          </w:p>
        </w:tc>
        <w:tc>
          <w:tcPr>
            <w:tcW w:w="874" w:type="dxa"/>
            <w:tcBorders>
              <w:top w:val="nil"/>
              <w:left w:val="nil"/>
              <w:bottom w:val="single" w:sz="8" w:space="0" w:color="auto"/>
              <w:right w:val="nil"/>
            </w:tcBorders>
            <w:tcMar>
              <w:top w:w="15" w:type="dxa"/>
              <w:left w:w="15" w:type="dxa"/>
              <w:right w:w="15" w:type="dxa"/>
            </w:tcMar>
            <w:vAlign w:val="bottom"/>
          </w:tcPr>
          <w:p w14:paraId="248465FD" w14:textId="6EAB1A22" w:rsidR="3274C890" w:rsidRDefault="3274C890" w:rsidP="3274C890">
            <w:r w:rsidRPr="3274C890">
              <w:rPr>
                <w:rFonts w:ascii="Calibri" w:eastAsia="Calibri" w:hAnsi="Calibri" w:cs="Calibri"/>
                <w:b/>
                <w:bCs/>
                <w:color w:val="000000" w:themeColor="text1"/>
                <w:sz w:val="22"/>
                <w:szCs w:val="22"/>
              </w:rPr>
              <w:t>2,723</w:t>
            </w:r>
          </w:p>
        </w:tc>
        <w:tc>
          <w:tcPr>
            <w:tcW w:w="874" w:type="dxa"/>
            <w:tcBorders>
              <w:top w:val="nil"/>
              <w:left w:val="nil"/>
              <w:bottom w:val="single" w:sz="8" w:space="0" w:color="auto"/>
              <w:right w:val="single" w:sz="8" w:space="0" w:color="auto"/>
            </w:tcBorders>
            <w:tcMar>
              <w:top w:w="15" w:type="dxa"/>
              <w:left w:w="15" w:type="dxa"/>
              <w:right w:w="15" w:type="dxa"/>
            </w:tcMar>
            <w:vAlign w:val="bottom"/>
          </w:tcPr>
          <w:p w14:paraId="40CAFA0B" w14:textId="48EB28C2" w:rsidR="3274C890" w:rsidRDefault="3274C890" w:rsidP="3274C890">
            <w:r w:rsidRPr="3274C890">
              <w:rPr>
                <w:rFonts w:ascii="Calibri" w:eastAsia="Calibri" w:hAnsi="Calibri" w:cs="Calibri"/>
                <w:b/>
                <w:bCs/>
                <w:color w:val="000000" w:themeColor="text1"/>
                <w:sz w:val="22"/>
                <w:szCs w:val="22"/>
              </w:rPr>
              <w:t>3,693</w:t>
            </w:r>
          </w:p>
        </w:tc>
        <w:tc>
          <w:tcPr>
            <w:tcW w:w="874" w:type="dxa"/>
            <w:tcBorders>
              <w:top w:val="nil"/>
              <w:left w:val="single" w:sz="8" w:space="0" w:color="auto"/>
              <w:bottom w:val="single" w:sz="8" w:space="0" w:color="auto"/>
              <w:right w:val="single" w:sz="8" w:space="0" w:color="auto"/>
            </w:tcBorders>
            <w:tcMar>
              <w:top w:w="15" w:type="dxa"/>
              <w:left w:w="15" w:type="dxa"/>
              <w:right w:w="15" w:type="dxa"/>
            </w:tcMar>
            <w:vAlign w:val="bottom"/>
          </w:tcPr>
          <w:p w14:paraId="31EDA815" w14:textId="0F7804FF" w:rsidR="3274C890" w:rsidRDefault="3274C890" w:rsidP="3274C890">
            <w:r w:rsidRPr="3274C890">
              <w:rPr>
                <w:rFonts w:ascii="Calibri" w:eastAsia="Calibri" w:hAnsi="Calibri" w:cs="Calibri"/>
                <w:b/>
                <w:bCs/>
                <w:color w:val="000000" w:themeColor="text1"/>
                <w:sz w:val="22"/>
                <w:szCs w:val="22"/>
              </w:rPr>
              <w:t>4,439</w:t>
            </w:r>
          </w:p>
        </w:tc>
        <w:tc>
          <w:tcPr>
            <w:tcW w:w="1395" w:type="dxa"/>
            <w:tcBorders>
              <w:top w:val="nil"/>
              <w:left w:val="single" w:sz="8" w:space="0" w:color="auto"/>
              <w:bottom w:val="single" w:sz="8" w:space="0" w:color="auto"/>
              <w:right w:val="single" w:sz="8" w:space="0" w:color="auto"/>
            </w:tcBorders>
            <w:tcMar>
              <w:top w:w="15" w:type="dxa"/>
              <w:left w:w="15" w:type="dxa"/>
              <w:right w:w="15" w:type="dxa"/>
            </w:tcMar>
            <w:vAlign w:val="bottom"/>
          </w:tcPr>
          <w:p w14:paraId="060FB8E4" w14:textId="5E619A97" w:rsidR="3274C890" w:rsidRDefault="3274C890" w:rsidP="3274C890">
            <w:r w:rsidRPr="3274C890">
              <w:rPr>
                <w:rFonts w:ascii="Calibri" w:eastAsia="Calibri" w:hAnsi="Calibri" w:cs="Calibri"/>
                <w:b/>
                <w:bCs/>
                <w:color w:val="000000" w:themeColor="text1"/>
                <w:sz w:val="22"/>
                <w:szCs w:val="22"/>
              </w:rPr>
              <w:t>5,107</w:t>
            </w:r>
          </w:p>
        </w:tc>
        <w:tc>
          <w:tcPr>
            <w:tcW w:w="353" w:type="dxa"/>
            <w:vAlign w:val="center"/>
          </w:tcPr>
          <w:p w14:paraId="0D3559C7" w14:textId="2700E5B4" w:rsidR="3274C890" w:rsidRDefault="3274C890"/>
        </w:tc>
        <w:tc>
          <w:tcPr>
            <w:tcW w:w="874" w:type="dxa"/>
            <w:vAlign w:val="center"/>
          </w:tcPr>
          <w:p w14:paraId="4D387E42" w14:textId="04E5DB06" w:rsidR="3274C890" w:rsidRDefault="3274C890"/>
        </w:tc>
        <w:tc>
          <w:tcPr>
            <w:tcW w:w="874" w:type="dxa"/>
            <w:vAlign w:val="center"/>
          </w:tcPr>
          <w:p w14:paraId="1729A7DC" w14:textId="3C0D9BAB" w:rsidR="3274C890" w:rsidRDefault="3274C890"/>
        </w:tc>
      </w:tr>
    </w:tbl>
    <w:p w14:paraId="03E695BC" w14:textId="307AE881" w:rsidR="00FC02F0" w:rsidRPr="00B96FC0" w:rsidRDefault="00FC02F0" w:rsidP="00893574">
      <w:pPr>
        <w:pStyle w:val="ListParagraph"/>
        <w:ind w:right="386"/>
      </w:pPr>
    </w:p>
    <w:p w14:paraId="400B0173" w14:textId="77777777" w:rsidR="00FC02F0" w:rsidRPr="00B96FC0" w:rsidRDefault="00FC02F0" w:rsidP="00893574">
      <w:pPr>
        <w:pStyle w:val="ListParagraph"/>
        <w:ind w:right="386"/>
        <w:rPr>
          <w:b/>
          <w:highlight w:val="yellow"/>
        </w:rPr>
      </w:pPr>
    </w:p>
    <w:p w14:paraId="6C1137B0" w14:textId="77777777" w:rsidR="00FC02F0" w:rsidRPr="00B96FC0" w:rsidRDefault="00FC02F0" w:rsidP="00893574">
      <w:pPr>
        <w:pStyle w:val="ListParagraph"/>
        <w:ind w:right="386"/>
        <w:rPr>
          <w:b/>
          <w:highlight w:val="yellow"/>
        </w:rPr>
      </w:pPr>
    </w:p>
    <w:p w14:paraId="31356D39" w14:textId="60F6F24C" w:rsidR="00214432" w:rsidRPr="00B96FC0" w:rsidRDefault="00214432" w:rsidP="12B5E433">
      <w:pPr>
        <w:pStyle w:val="ListParagraph"/>
        <w:spacing w:after="200" w:line="276" w:lineRule="auto"/>
        <w:ind w:right="386"/>
        <w:contextualSpacing/>
        <w:jc w:val="both"/>
        <w:rPr>
          <w:b/>
        </w:rPr>
      </w:pPr>
      <w:r w:rsidRPr="3274C890">
        <w:rPr>
          <w:b/>
        </w:rPr>
        <w:t>Housing Company</w:t>
      </w:r>
      <w:r w:rsidR="007444C0" w:rsidRPr="3274C890">
        <w:rPr>
          <w:b/>
        </w:rPr>
        <w:t>- Oxford City Housing Ltd</w:t>
      </w:r>
      <w:r w:rsidR="0007294E" w:rsidRPr="3274C890">
        <w:rPr>
          <w:b/>
        </w:rPr>
        <w:t xml:space="preserve"> trading as OX Place</w:t>
      </w:r>
    </w:p>
    <w:p w14:paraId="69ABFAEC" w14:textId="26AC261C" w:rsidR="00214432" w:rsidRPr="00B96FC0" w:rsidRDefault="00214432" w:rsidP="009046B9">
      <w:pPr>
        <w:pStyle w:val="Default"/>
        <w:numPr>
          <w:ilvl w:val="0"/>
          <w:numId w:val="46"/>
        </w:numPr>
        <w:ind w:left="426" w:right="386" w:hanging="426"/>
      </w:pPr>
      <w:r>
        <w:t xml:space="preserve">March 2016 the Council approved the establishment of a </w:t>
      </w:r>
      <w:r w:rsidR="001B13BD">
        <w:t xml:space="preserve">wholly owned </w:t>
      </w:r>
      <w:r>
        <w:t xml:space="preserve">Local Authority housing company that </w:t>
      </w:r>
      <w:r w:rsidR="001B13BD">
        <w:t>was incorporated in June 20</w:t>
      </w:r>
      <w:r w:rsidR="00BC505F">
        <w:t xml:space="preserve">16, Oxford City Housing Limited with the objective of delivering affordable housing </w:t>
      </w:r>
      <w:proofErr w:type="gramStart"/>
      <w:r w:rsidR="00BC505F">
        <w:t xml:space="preserve">and </w:t>
      </w:r>
      <w:r w:rsidR="0044500D">
        <w:t>also</w:t>
      </w:r>
      <w:proofErr w:type="gramEnd"/>
      <w:r w:rsidR="00BC505F">
        <w:t xml:space="preserve"> a financial return back to the council. The Company, consisting of a holding company OCHL (Holding) Ltd, a development company, OCHL (Development) Ltd and an investment company OCHL (Investment) Ltd trades as OX Place. </w:t>
      </w:r>
    </w:p>
    <w:p w14:paraId="0DCAEE77" w14:textId="77777777" w:rsidR="007B0D43" w:rsidRPr="00B96FC0" w:rsidRDefault="007B0D43" w:rsidP="007B0D43">
      <w:pPr>
        <w:pStyle w:val="ListParagraph"/>
        <w:rPr>
          <w:highlight w:val="yellow"/>
        </w:rPr>
      </w:pPr>
    </w:p>
    <w:p w14:paraId="7AA06960" w14:textId="5DC26AEA" w:rsidR="150478FC" w:rsidRDefault="150478FC" w:rsidP="009046B9">
      <w:pPr>
        <w:pStyle w:val="Default"/>
        <w:numPr>
          <w:ilvl w:val="0"/>
          <w:numId w:val="46"/>
        </w:numPr>
        <w:ind w:left="426" w:hanging="426"/>
        <w:rPr>
          <w:rFonts w:eastAsia="Arial"/>
        </w:rPr>
      </w:pPr>
      <w:r>
        <w:t>In Nov</w:t>
      </w:r>
      <w:r w:rsidR="71149C18">
        <w:t>e</w:t>
      </w:r>
      <w:r>
        <w:t xml:space="preserve">mber 2024 shareholders agreed to the transfer of properties from the Barton </w:t>
      </w:r>
      <w:r w:rsidR="06DCF3DA">
        <w:t xml:space="preserve">development that were managed by OCH(I)L to be transferred to the Councils HRA. </w:t>
      </w:r>
      <w:r>
        <w:t xml:space="preserve"> </w:t>
      </w:r>
      <w:r w:rsidR="5F450AC4">
        <w:t xml:space="preserve">This decision was ratified at Council on </w:t>
      </w:r>
      <w:r w:rsidR="312FAF32">
        <w:t>25</w:t>
      </w:r>
      <w:r w:rsidR="312FAF32" w:rsidRPr="6F9FB908">
        <w:rPr>
          <w:vertAlign w:val="superscript"/>
        </w:rPr>
        <w:t>th</w:t>
      </w:r>
      <w:r w:rsidR="312FAF32">
        <w:t xml:space="preserve"> November 2024 together with a decision for all future properties from the Barton development to be </w:t>
      </w:r>
      <w:r w:rsidR="4168A071">
        <w:t>purchased</w:t>
      </w:r>
      <w:r w:rsidR="312FAF32">
        <w:t xml:space="preserve"> by the Council. </w:t>
      </w:r>
      <w:r w:rsidR="007B0D43">
        <w:t xml:space="preserve"> </w:t>
      </w:r>
      <w:r w:rsidR="6FF04727">
        <w:t>For some time</w:t>
      </w:r>
      <w:r w:rsidR="025E750D">
        <w:t>,</w:t>
      </w:r>
      <w:r w:rsidR="6FF04727">
        <w:t xml:space="preserve"> expenditure within </w:t>
      </w:r>
      <w:r w:rsidR="6FF04727" w:rsidRPr="6F9FB908">
        <w:rPr>
          <w:rFonts w:eastAsia="Arial"/>
        </w:rPr>
        <w:t xml:space="preserve">OCH(I)L has exceeded income and the action taken was required to </w:t>
      </w:r>
      <w:r w:rsidR="2DADB725" w:rsidRPr="6F9FB908">
        <w:rPr>
          <w:rFonts w:eastAsia="Arial"/>
        </w:rPr>
        <w:t>stabilize</w:t>
      </w:r>
      <w:r w:rsidR="6FF04727" w:rsidRPr="6F9FB908">
        <w:rPr>
          <w:rFonts w:eastAsia="Arial"/>
        </w:rPr>
        <w:t xml:space="preserve"> the company financially and clear its debts and accumulated deficits. The issue </w:t>
      </w:r>
      <w:r w:rsidR="079024CE" w:rsidRPr="6F9FB908">
        <w:rPr>
          <w:rFonts w:eastAsia="Arial"/>
        </w:rPr>
        <w:t>ha</w:t>
      </w:r>
      <w:r w:rsidR="6FF04727" w:rsidRPr="6F9FB908">
        <w:rPr>
          <w:rFonts w:eastAsia="Arial"/>
        </w:rPr>
        <w:t>s arisen due to the company having costs stemming from the original start-up expenditure that has created a large deficit in the early years of the company. This has been made more challenging in recent times from increased interest rates on the loans (the company borrows 100% of the costs of acquisition and associated conveyancing costs), higher than expected repairs and maintenance expenditure and the company only charges social rents. In summary the expenditure of the company exceeds the income’.</w:t>
      </w:r>
      <w:r w:rsidR="781DA9F2" w:rsidRPr="6F9FB908">
        <w:rPr>
          <w:rFonts w:eastAsia="Arial"/>
        </w:rPr>
        <w:t xml:space="preserve"> </w:t>
      </w:r>
      <w:r w:rsidR="0738CD6B" w:rsidRPr="6F9FB908">
        <w:rPr>
          <w:rFonts w:eastAsia="Arial"/>
        </w:rPr>
        <w:t>T</w:t>
      </w:r>
      <w:r w:rsidR="6FF04727" w:rsidRPr="6F9FB908">
        <w:rPr>
          <w:rFonts w:eastAsia="Arial"/>
        </w:rPr>
        <w:t xml:space="preserve">he company </w:t>
      </w:r>
      <w:r w:rsidR="77D5F2C3" w:rsidRPr="6F9FB908">
        <w:rPr>
          <w:rFonts w:eastAsia="Arial"/>
        </w:rPr>
        <w:t xml:space="preserve">will </w:t>
      </w:r>
      <w:r w:rsidR="6FF04727" w:rsidRPr="6F9FB908">
        <w:rPr>
          <w:rFonts w:eastAsia="Arial"/>
        </w:rPr>
        <w:t>becom</w:t>
      </w:r>
      <w:r w:rsidR="102B9AFC" w:rsidRPr="6F9FB908">
        <w:rPr>
          <w:rFonts w:eastAsia="Arial"/>
        </w:rPr>
        <w:t>e</w:t>
      </w:r>
      <w:r w:rsidR="6FF04727" w:rsidRPr="6F9FB908">
        <w:rPr>
          <w:rFonts w:eastAsia="Arial"/>
        </w:rPr>
        <w:t xml:space="preserve"> </w:t>
      </w:r>
      <w:r w:rsidR="011D8A4A" w:rsidRPr="6F9FB908">
        <w:rPr>
          <w:rFonts w:eastAsia="Arial"/>
        </w:rPr>
        <w:t xml:space="preserve">a </w:t>
      </w:r>
      <w:r w:rsidR="6FF04727" w:rsidRPr="6F9FB908">
        <w:rPr>
          <w:rFonts w:eastAsia="Arial"/>
        </w:rPr>
        <w:t>dormant legal entity pending a decision on its future use.</w:t>
      </w:r>
      <w:r w:rsidR="4399ED63" w:rsidRPr="6F9FB908">
        <w:rPr>
          <w:rFonts w:eastAsia="Arial"/>
        </w:rPr>
        <w:t xml:space="preserve"> Interest lost to the MTFP </w:t>
      </w:r>
      <w:r w:rsidR="7DBF5EB2" w:rsidRPr="6F9FB908">
        <w:rPr>
          <w:rFonts w:eastAsia="Arial"/>
        </w:rPr>
        <w:t xml:space="preserve">from future loans is </w:t>
      </w:r>
      <w:r w:rsidR="553B04BF" w:rsidRPr="6F9FB908">
        <w:rPr>
          <w:rFonts w:eastAsia="Arial"/>
        </w:rPr>
        <w:t>estimated</w:t>
      </w:r>
      <w:r w:rsidR="7DBF5EB2" w:rsidRPr="6F9FB908">
        <w:rPr>
          <w:rFonts w:eastAsia="Arial"/>
        </w:rPr>
        <w:t xml:space="preserve"> to be in the order of £800k - £1million.</w:t>
      </w:r>
    </w:p>
    <w:p w14:paraId="0F789525" w14:textId="77777777" w:rsidR="00F42D9C" w:rsidRDefault="00F42D9C" w:rsidP="00F42D9C">
      <w:pPr>
        <w:pStyle w:val="Default"/>
        <w:ind w:left="426"/>
        <w:rPr>
          <w:rFonts w:eastAsia="Arial"/>
        </w:rPr>
      </w:pPr>
    </w:p>
    <w:p w14:paraId="69A5AB39" w14:textId="4346D8AA" w:rsidR="6E99BC2B" w:rsidRDefault="6E99BC2B" w:rsidP="009046B9">
      <w:pPr>
        <w:pStyle w:val="Default"/>
        <w:numPr>
          <w:ilvl w:val="0"/>
          <w:numId w:val="46"/>
        </w:numPr>
        <w:ind w:left="426" w:hanging="426"/>
        <w:rPr>
          <w:rFonts w:eastAsia="Arial"/>
        </w:rPr>
      </w:pPr>
      <w:r>
        <w:t>Recent information presented to shareholders o</w:t>
      </w:r>
      <w:r w:rsidR="7F636940">
        <w:t>f t</w:t>
      </w:r>
      <w:r w:rsidR="56CC4A1B" w:rsidRPr="6F9FB908">
        <w:rPr>
          <w:rFonts w:eastAsia="Arial"/>
        </w:rPr>
        <w:t>he</w:t>
      </w:r>
      <w:r w:rsidR="49256A6A" w:rsidRPr="6F9FB908">
        <w:rPr>
          <w:rFonts w:eastAsia="Arial"/>
        </w:rPr>
        <w:t xml:space="preserve"> companies</w:t>
      </w:r>
      <w:r w:rsidR="00F76BF5">
        <w:rPr>
          <w:rFonts w:eastAsia="Arial"/>
        </w:rPr>
        <w:t>’</w:t>
      </w:r>
      <w:r w:rsidR="49256A6A" w:rsidRPr="6F9FB908">
        <w:rPr>
          <w:rFonts w:eastAsia="Arial"/>
        </w:rPr>
        <w:t xml:space="preserve"> </w:t>
      </w:r>
      <w:r w:rsidR="2F3D140F" w:rsidRPr="6F9FB908">
        <w:rPr>
          <w:rFonts w:eastAsia="Arial"/>
        </w:rPr>
        <w:t xml:space="preserve">forecast </w:t>
      </w:r>
      <w:r w:rsidR="56CC4A1B" w:rsidRPr="6F9FB908">
        <w:rPr>
          <w:rFonts w:eastAsia="Arial"/>
        </w:rPr>
        <w:t>Statement of Comprehensive Income for 2024-25 indicates income carried forward of £2.2 million after having paid the dividend of £3 million to shareholders which bodes well for when the 2023-24 accounts are signed off in November 2024.</w:t>
      </w:r>
    </w:p>
    <w:p w14:paraId="4F96B3C2" w14:textId="77777777" w:rsidR="00F42D9C" w:rsidRDefault="00F42D9C" w:rsidP="00F42D9C">
      <w:pPr>
        <w:pStyle w:val="ListParagraph"/>
        <w:rPr>
          <w:rFonts w:eastAsia="Arial"/>
        </w:rPr>
      </w:pPr>
    </w:p>
    <w:p w14:paraId="0EC889D9" w14:textId="3727DEEC" w:rsidR="7DC71127" w:rsidRDefault="7DC71127" w:rsidP="009046B9">
      <w:pPr>
        <w:pStyle w:val="ListParagraph"/>
        <w:numPr>
          <w:ilvl w:val="0"/>
          <w:numId w:val="46"/>
        </w:numPr>
        <w:spacing w:after="160" w:line="257" w:lineRule="auto"/>
        <w:ind w:left="426" w:hanging="426"/>
        <w:rPr>
          <w:rFonts w:eastAsia="Arial" w:cs="Arial"/>
          <w:lang w:val="en-US"/>
        </w:rPr>
      </w:pPr>
      <w:r w:rsidRPr="6F9FB908">
        <w:rPr>
          <w:rFonts w:eastAsia="Arial" w:cs="Arial"/>
          <w:lang w:val="en-US"/>
        </w:rPr>
        <w:t>Future d</w:t>
      </w:r>
      <w:r w:rsidR="60D105B4" w:rsidRPr="6F9FB908">
        <w:rPr>
          <w:rFonts w:eastAsia="Arial" w:cs="Arial"/>
          <w:lang w:val="en-US"/>
        </w:rPr>
        <w:t xml:space="preserve">ividends </w:t>
      </w:r>
      <w:r w:rsidR="56CC4A1B" w:rsidRPr="6F9FB908">
        <w:rPr>
          <w:rFonts w:eastAsia="Arial" w:cs="Arial"/>
          <w:lang w:val="en-US"/>
        </w:rPr>
        <w:t>forecast at £8 million in the MTFP</w:t>
      </w:r>
      <w:r w:rsidR="3B992A19" w:rsidRPr="6F9FB908">
        <w:rPr>
          <w:rFonts w:eastAsia="Arial" w:cs="Arial"/>
          <w:lang w:val="en-US"/>
        </w:rPr>
        <w:t xml:space="preserve"> for the next 3</w:t>
      </w:r>
      <w:r w:rsidR="7373C731" w:rsidRPr="6F9FB908">
        <w:rPr>
          <w:rFonts w:eastAsia="Arial" w:cs="Arial"/>
          <w:lang w:val="en-US"/>
        </w:rPr>
        <w:t>-</w:t>
      </w:r>
      <w:r w:rsidR="3B992A19" w:rsidRPr="6F9FB908">
        <w:rPr>
          <w:rFonts w:eastAsia="Arial" w:cs="Arial"/>
          <w:lang w:val="en-US"/>
        </w:rPr>
        <w:t xml:space="preserve">year period 2025-26 to 2027-28 are assumed in the MTFP but </w:t>
      </w:r>
      <w:r w:rsidR="7B33E741" w:rsidRPr="6F9FB908">
        <w:rPr>
          <w:rFonts w:eastAsia="Arial" w:cs="Arial"/>
          <w:lang w:val="en-US"/>
        </w:rPr>
        <w:t xml:space="preserve">the </w:t>
      </w:r>
      <w:r w:rsidR="3B992A19" w:rsidRPr="6F9FB908">
        <w:rPr>
          <w:rFonts w:eastAsia="Arial" w:cs="Arial"/>
          <w:lang w:val="en-US"/>
        </w:rPr>
        <w:t>development</w:t>
      </w:r>
      <w:r w:rsidR="61DF1691" w:rsidRPr="6F9FB908">
        <w:rPr>
          <w:rFonts w:eastAsia="Arial" w:cs="Arial"/>
          <w:lang w:val="en-US"/>
        </w:rPr>
        <w:t xml:space="preserve"> scheme</w:t>
      </w:r>
      <w:r w:rsidR="3F121EB3" w:rsidRPr="6F9FB908">
        <w:rPr>
          <w:rFonts w:eastAsia="Arial" w:cs="Arial"/>
          <w:lang w:val="en-US"/>
        </w:rPr>
        <w:t xml:space="preserve"> </w:t>
      </w:r>
      <w:r w:rsidR="61DF1691" w:rsidRPr="6F9FB908">
        <w:rPr>
          <w:rFonts w:eastAsia="Arial" w:cs="Arial"/>
          <w:lang w:val="en-US"/>
        </w:rPr>
        <w:t>s</w:t>
      </w:r>
      <w:r w:rsidR="18218BE4" w:rsidRPr="6F9FB908">
        <w:rPr>
          <w:rFonts w:eastAsia="Arial" w:cs="Arial"/>
          <w:lang w:val="en-US"/>
        </w:rPr>
        <w:t xml:space="preserve">urpluses </w:t>
      </w:r>
      <w:r w:rsidR="6CDF78B9" w:rsidRPr="6F9FB908">
        <w:rPr>
          <w:rFonts w:eastAsia="Arial" w:cs="Arial"/>
          <w:lang w:val="en-US"/>
        </w:rPr>
        <w:t>from where</w:t>
      </w:r>
      <w:r w:rsidR="1873FCE7" w:rsidRPr="6F9FB908">
        <w:rPr>
          <w:rFonts w:eastAsia="Arial" w:cs="Arial"/>
          <w:lang w:val="en-US"/>
        </w:rPr>
        <w:t xml:space="preserve"> these </w:t>
      </w:r>
      <w:r w:rsidR="054C139B" w:rsidRPr="6F9FB908">
        <w:rPr>
          <w:rFonts w:eastAsia="Arial" w:cs="Arial"/>
          <w:lang w:val="en-US"/>
        </w:rPr>
        <w:t>div</w:t>
      </w:r>
      <w:r w:rsidR="7ADC800C" w:rsidRPr="6F9FB908">
        <w:rPr>
          <w:rFonts w:eastAsia="Arial" w:cs="Arial"/>
          <w:lang w:val="en-US"/>
        </w:rPr>
        <w:t>id</w:t>
      </w:r>
      <w:r w:rsidR="054C139B" w:rsidRPr="6F9FB908">
        <w:rPr>
          <w:rFonts w:eastAsia="Arial" w:cs="Arial"/>
          <w:lang w:val="en-US"/>
        </w:rPr>
        <w:t>ends</w:t>
      </w:r>
      <w:r w:rsidR="1873FCE7" w:rsidRPr="6F9FB908">
        <w:rPr>
          <w:rFonts w:eastAsia="Arial" w:cs="Arial"/>
          <w:lang w:val="en-US"/>
        </w:rPr>
        <w:t xml:space="preserve"> are paid remain a risk to the plans going forward. </w:t>
      </w:r>
    </w:p>
    <w:p w14:paraId="6DA6E9BC" w14:textId="77777777" w:rsidR="000C178A" w:rsidRPr="00B96FC0" w:rsidRDefault="000C178A" w:rsidP="000C178A">
      <w:pPr>
        <w:pStyle w:val="ListParagraph"/>
        <w:rPr>
          <w:highlight w:val="yellow"/>
        </w:rPr>
      </w:pPr>
    </w:p>
    <w:p w14:paraId="37B8A4B2" w14:textId="6DEDC9DE" w:rsidR="00214432" w:rsidRPr="00E16A06" w:rsidRDefault="00262853" w:rsidP="00873759">
      <w:pPr>
        <w:pStyle w:val="Default"/>
        <w:ind w:left="567" w:right="386" w:hanging="567"/>
        <w:jc w:val="both"/>
        <w:rPr>
          <w:b/>
        </w:rPr>
      </w:pPr>
      <w:r w:rsidRPr="00E16A06">
        <w:rPr>
          <w:b/>
        </w:rPr>
        <w:t>Oxford West End Development (</w:t>
      </w:r>
      <w:r w:rsidR="00214432" w:rsidRPr="00E16A06">
        <w:rPr>
          <w:b/>
        </w:rPr>
        <w:t>OXWED</w:t>
      </w:r>
      <w:r w:rsidR="00AC748A">
        <w:rPr>
          <w:b/>
        </w:rPr>
        <w:t xml:space="preserve"> LLP</w:t>
      </w:r>
      <w:r w:rsidRPr="00E16A06">
        <w:rPr>
          <w:b/>
        </w:rPr>
        <w:t>)</w:t>
      </w:r>
    </w:p>
    <w:p w14:paraId="41930260" w14:textId="77777777" w:rsidR="00262853" w:rsidRPr="00E16A06" w:rsidRDefault="00262853" w:rsidP="00873759">
      <w:pPr>
        <w:pStyle w:val="Default"/>
        <w:ind w:left="567" w:right="386" w:hanging="567"/>
        <w:jc w:val="both"/>
        <w:rPr>
          <w:b/>
        </w:rPr>
      </w:pPr>
    </w:p>
    <w:p w14:paraId="79AC85B3" w14:textId="70ABBFA3" w:rsidR="3274C890" w:rsidRPr="00E16A06" w:rsidRDefault="3274C890" w:rsidP="3274C890">
      <w:pPr>
        <w:pStyle w:val="Default"/>
        <w:ind w:left="720" w:right="386" w:hanging="720"/>
      </w:pPr>
    </w:p>
    <w:p w14:paraId="2B67F433" w14:textId="750D01F7" w:rsidR="00F8251E" w:rsidRPr="00E16A06" w:rsidRDefault="00497284" w:rsidP="009046B9">
      <w:pPr>
        <w:pStyle w:val="Default"/>
        <w:numPr>
          <w:ilvl w:val="0"/>
          <w:numId w:val="46"/>
        </w:numPr>
        <w:ind w:left="426" w:right="386" w:hanging="426"/>
      </w:pPr>
      <w:r>
        <w:lastRenderedPageBreak/>
        <w:t>T</w:t>
      </w:r>
      <w:r w:rsidR="00214432">
        <w:t>he Council has a 50/50 partnership with Nuffield College to undertake the de</w:t>
      </w:r>
      <w:r w:rsidR="00AC748A">
        <w:t xml:space="preserve">velopment of the land at </w:t>
      </w:r>
      <w:proofErr w:type="spellStart"/>
      <w:r w:rsidR="00AC748A">
        <w:t>Oxpens</w:t>
      </w:r>
      <w:proofErr w:type="spellEnd"/>
      <w:r w:rsidR="00AC748A">
        <w:t xml:space="preserve"> for residential and commercial purposes.</w:t>
      </w:r>
      <w:r w:rsidR="00214432">
        <w:t xml:space="preserve">  </w:t>
      </w:r>
    </w:p>
    <w:p w14:paraId="4E10128E" w14:textId="77777777" w:rsidR="00F8251E" w:rsidRPr="00E16A06" w:rsidRDefault="00F8251E" w:rsidP="00873759">
      <w:pPr>
        <w:pStyle w:val="Default"/>
        <w:ind w:left="709" w:right="386" w:hanging="709"/>
      </w:pPr>
    </w:p>
    <w:p w14:paraId="59A4BD1B" w14:textId="2777F37C" w:rsidR="00214432" w:rsidRPr="00E16A06" w:rsidRDefault="00214432" w:rsidP="009046B9">
      <w:pPr>
        <w:pStyle w:val="Default"/>
        <w:numPr>
          <w:ilvl w:val="0"/>
          <w:numId w:val="46"/>
        </w:numPr>
        <w:ind w:left="426" w:right="386" w:hanging="426"/>
      </w:pPr>
      <w:r w:rsidRPr="00E16A06">
        <w:t xml:space="preserve">The </w:t>
      </w:r>
      <w:r w:rsidR="00064FD2" w:rsidRPr="00E16A06">
        <w:t xml:space="preserve">Council has invested money on a 50/50 basis </w:t>
      </w:r>
      <w:r w:rsidR="00D63A7E" w:rsidRPr="00E16A06">
        <w:t xml:space="preserve">with its partner </w:t>
      </w:r>
      <w:r w:rsidR="004C7821" w:rsidRPr="00E16A06">
        <w:t>Nuffield</w:t>
      </w:r>
      <w:r w:rsidR="00D63A7E" w:rsidRPr="00E16A06">
        <w:t xml:space="preserve"> College at a loan investment rate of 6.5% </w:t>
      </w:r>
      <w:r w:rsidR="00064FD2" w:rsidRPr="00E16A06">
        <w:t xml:space="preserve">with </w:t>
      </w:r>
      <w:r w:rsidR="00D63A7E" w:rsidRPr="00E16A06">
        <w:t xml:space="preserve">loans outstanding at </w:t>
      </w:r>
      <w:r w:rsidR="00064FD2" w:rsidRPr="00E16A06">
        <w:t>31-10-202</w:t>
      </w:r>
      <w:r w:rsidR="3C760E15" w:rsidRPr="00E16A06">
        <w:t>4</w:t>
      </w:r>
      <w:r w:rsidR="00064FD2" w:rsidRPr="00E16A06">
        <w:t xml:space="preserve"> </w:t>
      </w:r>
      <w:r w:rsidR="00D63A7E" w:rsidRPr="00E16A06">
        <w:t>of</w:t>
      </w:r>
      <w:r w:rsidR="00064FD2" w:rsidRPr="00E16A06">
        <w:t xml:space="preserve"> </w:t>
      </w:r>
      <w:r w:rsidR="00D63A7E" w:rsidRPr="00E16A06">
        <w:t>£</w:t>
      </w:r>
      <w:r w:rsidR="003A3DAE" w:rsidRPr="00E16A06">
        <w:t>13.5</w:t>
      </w:r>
      <w:r w:rsidR="00D63A7E" w:rsidRPr="00E16A06">
        <w:t xml:space="preserve"> million </w:t>
      </w:r>
      <w:r w:rsidRPr="00E16A06">
        <w:t>loan</w:t>
      </w:r>
      <w:r w:rsidR="005D102D" w:rsidRPr="00E16A06">
        <w:t>s</w:t>
      </w:r>
      <w:r w:rsidRPr="00E16A06">
        <w:t xml:space="preserve"> </w:t>
      </w:r>
      <w:r w:rsidR="00D63A7E" w:rsidRPr="00E16A06">
        <w:t xml:space="preserve">and accrued interest </w:t>
      </w:r>
      <w:r w:rsidR="004C7821" w:rsidRPr="00E16A06">
        <w:t>of approximately</w:t>
      </w:r>
      <w:r w:rsidR="00D63A7E" w:rsidRPr="00E16A06">
        <w:t xml:space="preserve"> £</w:t>
      </w:r>
      <w:r w:rsidR="00132034" w:rsidRPr="00E16A06">
        <w:t>7.1</w:t>
      </w:r>
      <w:r w:rsidR="00D63A7E" w:rsidRPr="00E16A06">
        <w:t xml:space="preserve"> </w:t>
      </w:r>
      <w:r w:rsidR="004C7821" w:rsidRPr="00E16A06">
        <w:t>million.</w:t>
      </w:r>
      <w:r w:rsidR="001F7BEE" w:rsidRPr="00E16A06">
        <w:t xml:space="preserve"> </w:t>
      </w:r>
      <w:r w:rsidRPr="00E16A06">
        <w:t xml:space="preserve"> </w:t>
      </w:r>
    </w:p>
    <w:p w14:paraId="1FF7A7C0" w14:textId="77777777" w:rsidR="00214432" w:rsidRPr="00B96FC0" w:rsidRDefault="00214432" w:rsidP="00F15D28">
      <w:pPr>
        <w:pStyle w:val="Default"/>
        <w:ind w:left="709" w:right="386" w:hanging="1070"/>
        <w:rPr>
          <w:highlight w:val="yellow"/>
        </w:rPr>
      </w:pPr>
    </w:p>
    <w:p w14:paraId="46E97C2E" w14:textId="0BAD3516" w:rsidR="00F9078A" w:rsidRPr="00E801E2" w:rsidRDefault="00F9078A" w:rsidP="009046B9">
      <w:pPr>
        <w:pStyle w:val="ListParagraph"/>
        <w:numPr>
          <w:ilvl w:val="0"/>
          <w:numId w:val="46"/>
        </w:numPr>
        <w:tabs>
          <w:tab w:val="left" w:pos="1276"/>
        </w:tabs>
        <w:ind w:left="426" w:right="386" w:hanging="426"/>
        <w:jc w:val="both"/>
        <w:rPr>
          <w:rFonts w:eastAsia="Arial Nova" w:cs="Arial"/>
        </w:rPr>
      </w:pPr>
      <w:r w:rsidRPr="00E801E2">
        <w:rPr>
          <w:rFonts w:eastAsia="Arial Nova" w:cs="Arial"/>
        </w:rPr>
        <w:t xml:space="preserve">In March 2021 </w:t>
      </w:r>
      <w:proofErr w:type="spellStart"/>
      <w:r w:rsidRPr="00E801E2">
        <w:rPr>
          <w:rFonts w:eastAsia="Arial Nova" w:cs="Arial"/>
        </w:rPr>
        <w:t>Oxwed’s</w:t>
      </w:r>
      <w:proofErr w:type="spellEnd"/>
      <w:r w:rsidRPr="00E801E2">
        <w:rPr>
          <w:rFonts w:eastAsia="Arial Nova" w:cs="Arial"/>
        </w:rPr>
        <w:t xml:space="preserve"> shareholders resolved to proceed with the preparation of a master plan and the submission of a planning application. </w:t>
      </w:r>
      <w:r w:rsidR="7B1D781E" w:rsidRPr="00E801E2">
        <w:rPr>
          <w:rFonts w:eastAsia="Arial Nova" w:cs="Arial"/>
        </w:rPr>
        <w:t xml:space="preserve">The planning application was submitted in 2022 and awaits determination. </w:t>
      </w:r>
      <w:r w:rsidR="5D355939" w:rsidRPr="00E801E2">
        <w:rPr>
          <w:rFonts w:eastAsia="Arial Nova" w:cs="Arial"/>
        </w:rPr>
        <w:t xml:space="preserve"> </w:t>
      </w:r>
    </w:p>
    <w:p w14:paraId="74CA2FA1" w14:textId="4029D2F7" w:rsidR="3274C890" w:rsidRDefault="3274C890" w:rsidP="3274C890">
      <w:pPr>
        <w:pStyle w:val="ListParagraph"/>
        <w:tabs>
          <w:tab w:val="left" w:pos="1276"/>
        </w:tabs>
        <w:ind w:left="360" w:right="386" w:hanging="720"/>
        <w:jc w:val="both"/>
        <w:rPr>
          <w:rFonts w:ascii="Times New Roman" w:hAnsi="Times New Roman"/>
        </w:rPr>
      </w:pPr>
    </w:p>
    <w:p w14:paraId="4436B7BD" w14:textId="617748B9" w:rsidR="00A84E2A" w:rsidRPr="00B96FC0" w:rsidRDefault="00F9020B" w:rsidP="009046B9">
      <w:pPr>
        <w:pStyle w:val="ListParagraph"/>
        <w:numPr>
          <w:ilvl w:val="0"/>
          <w:numId w:val="46"/>
        </w:numPr>
        <w:ind w:left="426" w:hanging="426"/>
        <w:rPr>
          <w:sz w:val="22"/>
          <w:szCs w:val="22"/>
        </w:rPr>
      </w:pPr>
      <w:r w:rsidRPr="3274C890">
        <w:rPr>
          <w:rFonts w:cs="Arial"/>
        </w:rPr>
        <w:t>The overall development will drive significant gross value added, addit</w:t>
      </w:r>
      <w:r w:rsidR="00064FD2" w:rsidRPr="3274C890">
        <w:rPr>
          <w:rFonts w:cs="Arial"/>
        </w:rPr>
        <w:t>io</w:t>
      </w:r>
      <w:r w:rsidRPr="3274C890">
        <w:rPr>
          <w:rFonts w:cs="Arial"/>
        </w:rPr>
        <w:t xml:space="preserve">nal council tax, business rates and </w:t>
      </w:r>
      <w:r w:rsidR="00064FD2" w:rsidRPr="3274C890">
        <w:rPr>
          <w:rFonts w:cs="Arial"/>
        </w:rPr>
        <w:t>dividend</w:t>
      </w:r>
      <w:r w:rsidRPr="3274C890">
        <w:rPr>
          <w:rFonts w:cs="Arial"/>
        </w:rPr>
        <w:t xml:space="preserve"> return from the LLP. The timing of this </w:t>
      </w:r>
      <w:r w:rsidR="00064FD2" w:rsidRPr="3274C890">
        <w:rPr>
          <w:rFonts w:cs="Arial"/>
        </w:rPr>
        <w:t>r</w:t>
      </w:r>
      <w:r w:rsidRPr="3274C890">
        <w:rPr>
          <w:rFonts w:cs="Arial"/>
        </w:rPr>
        <w:t xml:space="preserve">eturn is </w:t>
      </w:r>
      <w:r w:rsidR="5D7B006B" w:rsidRPr="3274C890">
        <w:rPr>
          <w:rFonts w:cs="Arial"/>
        </w:rPr>
        <w:t>still</w:t>
      </w:r>
      <w:r w:rsidRPr="3274C890">
        <w:rPr>
          <w:rFonts w:cs="Arial"/>
        </w:rPr>
        <w:t xml:space="preserve"> uncertain </w:t>
      </w:r>
      <w:r w:rsidR="005C3015" w:rsidRPr="3274C890">
        <w:rPr>
          <w:rFonts w:cs="Arial"/>
        </w:rPr>
        <w:t xml:space="preserve">and in the first instance will pay off the outstanding loans and accrued interest of both Nuffield and the Council. Any surplus </w:t>
      </w:r>
      <w:r w:rsidR="0044500D" w:rsidRPr="3274C890">
        <w:rPr>
          <w:rFonts w:cs="Arial"/>
        </w:rPr>
        <w:t>will</w:t>
      </w:r>
      <w:r w:rsidR="005C3015" w:rsidRPr="3274C890">
        <w:rPr>
          <w:rFonts w:cs="Arial"/>
        </w:rPr>
        <w:t xml:space="preserve"> then need to achieve sufficient to replace the current investment at 6.5% which could be in the form of reducing future borrowing for financing the capital programme. </w:t>
      </w:r>
      <w:r w:rsidR="16755F2F" w:rsidRPr="3274C890">
        <w:rPr>
          <w:rFonts w:cs="Arial"/>
        </w:rPr>
        <w:t xml:space="preserve">Given the uncertainty no financial implications have been included </w:t>
      </w:r>
      <w:r w:rsidR="008009B9" w:rsidRPr="3274C890">
        <w:rPr>
          <w:rFonts w:cs="Arial"/>
        </w:rPr>
        <w:t>within</w:t>
      </w:r>
      <w:r w:rsidR="16755F2F" w:rsidRPr="3274C890">
        <w:rPr>
          <w:rFonts w:cs="Arial"/>
        </w:rPr>
        <w:t xml:space="preserve"> the Councils MTFP over the </w:t>
      </w:r>
      <w:proofErr w:type="gramStart"/>
      <w:r w:rsidR="16755F2F" w:rsidRPr="3274C890">
        <w:rPr>
          <w:rFonts w:cs="Arial"/>
        </w:rPr>
        <w:t>4 year</w:t>
      </w:r>
      <w:proofErr w:type="gramEnd"/>
      <w:r w:rsidR="16755F2F" w:rsidRPr="3274C890">
        <w:rPr>
          <w:rFonts w:cs="Arial"/>
        </w:rPr>
        <w:t xml:space="preserve"> period with the exception of the </w:t>
      </w:r>
      <w:r w:rsidR="3D74783E" w:rsidRPr="3274C890">
        <w:rPr>
          <w:rFonts w:cs="Arial"/>
        </w:rPr>
        <w:t>interest from loan</w:t>
      </w:r>
      <w:r w:rsidR="00E16A06">
        <w:rPr>
          <w:rFonts w:cs="Arial"/>
        </w:rPr>
        <w:t>s</w:t>
      </w:r>
      <w:r w:rsidR="003D1263">
        <w:rPr>
          <w:rFonts w:cs="Arial"/>
        </w:rPr>
        <w:t>.</w:t>
      </w:r>
    </w:p>
    <w:p w14:paraId="701AEBA0" w14:textId="77777777" w:rsidR="00A84E2A" w:rsidRPr="00B96FC0" w:rsidRDefault="00A84E2A" w:rsidP="00F15D28">
      <w:pPr>
        <w:pStyle w:val="ListParagraph"/>
        <w:tabs>
          <w:tab w:val="left" w:pos="1276"/>
        </w:tabs>
        <w:ind w:left="709" w:right="386"/>
        <w:jc w:val="both"/>
        <w:rPr>
          <w:rFonts w:cs="Arial"/>
          <w:b/>
        </w:rPr>
      </w:pPr>
    </w:p>
    <w:p w14:paraId="2D82AC95" w14:textId="77777777" w:rsidR="00447C29" w:rsidRPr="00B96FC0" w:rsidRDefault="00447C29" w:rsidP="000D4B92">
      <w:pPr>
        <w:ind w:left="567" w:right="386" w:hanging="567"/>
        <w:rPr>
          <w:sz w:val="22"/>
          <w:szCs w:val="22"/>
          <w:highlight w:val="yellow"/>
        </w:rPr>
      </w:pPr>
    </w:p>
    <w:p w14:paraId="380E62D6" w14:textId="77777777" w:rsidR="00CB1092" w:rsidRPr="00B903CA" w:rsidRDefault="00CB1092" w:rsidP="12B5E433">
      <w:pPr>
        <w:autoSpaceDE w:val="0"/>
        <w:autoSpaceDN w:val="0"/>
        <w:adjustRightInd w:val="0"/>
        <w:ind w:right="380"/>
        <w:jc w:val="both"/>
        <w:rPr>
          <w:rFonts w:cs="Arial"/>
          <w:b/>
          <w:bCs/>
          <w:sz w:val="28"/>
          <w:szCs w:val="28"/>
        </w:rPr>
      </w:pPr>
      <w:r w:rsidRPr="00B903CA">
        <w:rPr>
          <w:rFonts w:cs="Arial"/>
          <w:b/>
          <w:bCs/>
          <w:sz w:val="28"/>
          <w:szCs w:val="28"/>
        </w:rPr>
        <w:t>Section C Housing Revenue Account Budget</w:t>
      </w:r>
    </w:p>
    <w:p w14:paraId="1AF27A58" w14:textId="77777777" w:rsidR="00CB1092" w:rsidRPr="00B903CA" w:rsidRDefault="00CB1092" w:rsidP="000D4B92">
      <w:pPr>
        <w:autoSpaceDE w:val="0"/>
        <w:autoSpaceDN w:val="0"/>
        <w:adjustRightInd w:val="0"/>
        <w:ind w:right="380"/>
        <w:rPr>
          <w:rFonts w:cs="Arial"/>
        </w:rPr>
      </w:pPr>
    </w:p>
    <w:p w14:paraId="634C4A33" w14:textId="77777777" w:rsidR="00CB1092" w:rsidRPr="00B903CA" w:rsidRDefault="00CB1092" w:rsidP="000D4B92">
      <w:pPr>
        <w:autoSpaceDE w:val="0"/>
        <w:autoSpaceDN w:val="0"/>
        <w:adjustRightInd w:val="0"/>
        <w:ind w:right="380"/>
        <w:jc w:val="both"/>
        <w:rPr>
          <w:rFonts w:cs="Arial"/>
          <w:b/>
        </w:rPr>
      </w:pPr>
      <w:r w:rsidRPr="00B903CA">
        <w:rPr>
          <w:rFonts w:cs="Arial"/>
          <w:b/>
        </w:rPr>
        <w:t>Background</w:t>
      </w:r>
    </w:p>
    <w:p w14:paraId="00C76444" w14:textId="081CD900" w:rsidR="001567C0" w:rsidRPr="00B903CA" w:rsidRDefault="001567C0" w:rsidP="000D4B92">
      <w:pPr>
        <w:autoSpaceDE w:val="0"/>
        <w:autoSpaceDN w:val="0"/>
        <w:adjustRightInd w:val="0"/>
        <w:ind w:right="380"/>
        <w:jc w:val="both"/>
        <w:rPr>
          <w:rFonts w:cs="Arial"/>
          <w:b/>
        </w:rPr>
      </w:pPr>
    </w:p>
    <w:p w14:paraId="6168BEAB" w14:textId="036680B8" w:rsidR="00A1032D" w:rsidRDefault="00756488" w:rsidP="009046B9">
      <w:pPr>
        <w:pStyle w:val="Heading1"/>
        <w:numPr>
          <w:ilvl w:val="0"/>
          <w:numId w:val="46"/>
        </w:numPr>
        <w:ind w:left="426" w:hanging="426"/>
        <w:rPr>
          <w:rFonts w:cs="Arial"/>
          <w:b w:val="0"/>
          <w:color w:val="242424"/>
          <w:shd w:val="clear" w:color="auto" w:fill="FFFFFF"/>
        </w:rPr>
      </w:pPr>
      <w:r w:rsidRPr="00756488">
        <w:rPr>
          <w:rFonts w:cs="Arial"/>
          <w:b w:val="0"/>
          <w:color w:val="242424"/>
          <w:shd w:val="clear" w:color="auto" w:fill="FFFFFF"/>
        </w:rPr>
        <w:t xml:space="preserve">The Council continues to operate an ambitious programme of investment both in the maintenance and refurbishment of its existing stock of 7,869 council dwellings, regeneration of its council estates </w:t>
      </w:r>
      <w:proofErr w:type="gramStart"/>
      <w:r w:rsidRPr="00756488">
        <w:rPr>
          <w:rFonts w:cs="Arial"/>
          <w:b w:val="0"/>
          <w:color w:val="242424"/>
          <w:shd w:val="clear" w:color="auto" w:fill="FFFFFF"/>
        </w:rPr>
        <w:t>and also</w:t>
      </w:r>
      <w:proofErr w:type="gramEnd"/>
      <w:r w:rsidRPr="00756488">
        <w:rPr>
          <w:rFonts w:cs="Arial"/>
          <w:b w:val="0"/>
          <w:color w:val="242424"/>
          <w:shd w:val="clear" w:color="auto" w:fill="FFFFFF"/>
        </w:rPr>
        <w:t xml:space="preserve"> investment in new social housing dwellings constructed by the Council’s wholly owned company Oxford City Housing Limited (OCHL). The current HRA Capital programme provides for £534 million of capital works over the next five years (£320 million when adjusted for optimism bias) with £356 million of this being spent on the purchases of 859 new build social houses, this being the commitment to OCHL over the current 10-year period. The current overall commitment to OCHL is for the purchase of 1,049 dwellings, of which, 190 will have been completed by 31st March 2025. A further 297 new-build units will be completed over the MTFP (running to March 2030).</w:t>
      </w:r>
      <w:r w:rsidR="00FB278C">
        <w:rPr>
          <w:rFonts w:cs="Arial"/>
          <w:b w:val="0"/>
          <w:color w:val="242424"/>
          <w:shd w:val="clear" w:color="auto" w:fill="FFFFFF"/>
        </w:rPr>
        <w:t xml:space="preserve"> </w:t>
      </w:r>
      <w:r w:rsidRPr="00FB278C">
        <w:rPr>
          <w:rFonts w:cs="Arial"/>
          <w:b w:val="0"/>
          <w:color w:val="242424"/>
          <w:shd w:val="clear" w:color="auto" w:fill="FFFFFF"/>
        </w:rPr>
        <w:t xml:space="preserve">In addition to the OX Place new build developments, the HRA is directly commissioning 227 new builds and </w:t>
      </w:r>
      <w:r w:rsidR="003869AA">
        <w:rPr>
          <w:rFonts w:cs="Arial"/>
          <w:b w:val="0"/>
          <w:color w:val="242424"/>
          <w:shd w:val="clear" w:color="auto" w:fill="FFFFFF"/>
        </w:rPr>
        <w:t>115</w:t>
      </w:r>
      <w:r w:rsidRPr="00FB278C">
        <w:rPr>
          <w:rFonts w:cs="Arial"/>
          <w:b w:val="0"/>
          <w:color w:val="242424"/>
          <w:shd w:val="clear" w:color="auto" w:fill="FFFFFF"/>
        </w:rPr>
        <w:t xml:space="preserve"> acquisitions in the same period.</w:t>
      </w:r>
    </w:p>
    <w:p w14:paraId="7086804B" w14:textId="77777777" w:rsidR="00C108B6" w:rsidRDefault="00C108B6" w:rsidP="00C108B6"/>
    <w:p w14:paraId="2DD9075B" w14:textId="0B020FAF" w:rsidR="00C108B6" w:rsidRPr="00C108B6" w:rsidRDefault="001639C9" w:rsidP="009046B9">
      <w:pPr>
        <w:pStyle w:val="ListParagraph"/>
        <w:numPr>
          <w:ilvl w:val="0"/>
          <w:numId w:val="46"/>
        </w:numPr>
        <w:ind w:left="426" w:hanging="426"/>
      </w:pPr>
      <w:r>
        <w:t>143</w:t>
      </w:r>
      <w:r w:rsidR="007C03E6">
        <w:t xml:space="preserve"> </w:t>
      </w:r>
      <w:r w:rsidR="004630F7">
        <w:t xml:space="preserve">Socially Rented </w:t>
      </w:r>
      <w:r w:rsidR="002E018D">
        <w:t>home</w:t>
      </w:r>
      <w:r w:rsidR="004630F7">
        <w:t>s at Barton Park</w:t>
      </w:r>
      <w:r w:rsidR="007A275C" w:rsidRPr="007A275C">
        <w:t xml:space="preserve"> ha</w:t>
      </w:r>
      <w:r w:rsidR="007A275C">
        <w:t>ve</w:t>
      </w:r>
      <w:r w:rsidR="007A275C" w:rsidRPr="007A275C">
        <w:t xml:space="preserve"> recently</w:t>
      </w:r>
      <w:r w:rsidR="007A275C">
        <w:t xml:space="preserve"> been</w:t>
      </w:r>
      <w:r w:rsidR="007A275C" w:rsidRPr="007A275C">
        <w:t xml:space="preserve"> transferred </w:t>
      </w:r>
      <w:r w:rsidR="000D2B08">
        <w:t>from OCH(</w:t>
      </w:r>
      <w:proofErr w:type="spellStart"/>
      <w:r w:rsidR="000D2B08">
        <w:t>i</w:t>
      </w:r>
      <w:proofErr w:type="spellEnd"/>
      <w:r w:rsidR="000D2B08">
        <w:t>)L to</w:t>
      </w:r>
      <w:r w:rsidR="007A275C">
        <w:t xml:space="preserve"> the HRA to</w:t>
      </w:r>
      <w:r w:rsidR="000D2B08">
        <w:t xml:space="preserve"> alleviate the financial pressure of holding these units within the company. </w:t>
      </w:r>
      <w:r w:rsidR="003804F6">
        <w:t xml:space="preserve">It was also agreed that the future units at Barton Park </w:t>
      </w:r>
      <w:r w:rsidR="00126063">
        <w:t>earmarked for purchase by OCH(</w:t>
      </w:r>
      <w:proofErr w:type="spellStart"/>
      <w:r w:rsidR="00126063">
        <w:t>i</w:t>
      </w:r>
      <w:proofErr w:type="spellEnd"/>
      <w:r w:rsidR="00126063">
        <w:t xml:space="preserve">)L </w:t>
      </w:r>
      <w:r w:rsidR="00D17683">
        <w:t xml:space="preserve">will instead be bought by the HRA. In total this will add 352 homes to the HRA stock over the next few </w:t>
      </w:r>
      <w:r w:rsidR="00B7764E">
        <w:t>years.</w:t>
      </w:r>
    </w:p>
    <w:p w14:paraId="2473EA45" w14:textId="4697CFC7" w:rsidR="1EDB5DC6" w:rsidRDefault="1EDB5DC6" w:rsidP="00E801E2">
      <w:pPr>
        <w:ind w:left="426" w:hanging="426"/>
      </w:pPr>
    </w:p>
    <w:p w14:paraId="100917EA" w14:textId="2185BE73" w:rsidR="4A214EDD" w:rsidRPr="000E3F75" w:rsidRDefault="4A214EDD" w:rsidP="009046B9">
      <w:pPr>
        <w:pStyle w:val="ListParagraph"/>
        <w:numPr>
          <w:ilvl w:val="0"/>
          <w:numId w:val="46"/>
        </w:numPr>
        <w:ind w:left="426" w:hanging="426"/>
        <w:rPr>
          <w:rFonts w:eastAsia="Calibri" w:cs="Arial"/>
        </w:rPr>
      </w:pPr>
      <w:r w:rsidRPr="000E3F75">
        <w:rPr>
          <w:rFonts w:eastAsia="Calibri" w:cs="Arial"/>
        </w:rPr>
        <w:t>Elsewhere on the Cabinet agenda</w:t>
      </w:r>
      <w:r w:rsidR="008C3637" w:rsidRPr="000E3F75">
        <w:rPr>
          <w:rFonts w:eastAsia="Calibri" w:cs="Arial"/>
        </w:rPr>
        <w:t>,</w:t>
      </w:r>
      <w:r w:rsidRPr="000E3F75">
        <w:rPr>
          <w:rFonts w:eastAsia="Calibri" w:cs="Arial"/>
        </w:rPr>
        <w:t xml:space="preserve"> reports are provided </w:t>
      </w:r>
      <w:proofErr w:type="gramStart"/>
      <w:r w:rsidRPr="000E3F75">
        <w:rPr>
          <w:rFonts w:eastAsia="Calibri" w:cs="Arial"/>
        </w:rPr>
        <w:t>on :</w:t>
      </w:r>
      <w:proofErr w:type="gramEnd"/>
    </w:p>
    <w:p w14:paraId="36A1B77C" w14:textId="22668628" w:rsidR="4A214EDD" w:rsidRPr="000E3F75" w:rsidRDefault="4A214EDD" w:rsidP="009046B9">
      <w:pPr>
        <w:pStyle w:val="ListParagraph"/>
        <w:numPr>
          <w:ilvl w:val="0"/>
          <w:numId w:val="33"/>
        </w:numPr>
        <w:rPr>
          <w:rFonts w:eastAsia="Calibri" w:cs="Arial"/>
        </w:rPr>
      </w:pPr>
      <w:r w:rsidRPr="60EA432F">
        <w:rPr>
          <w:rFonts w:eastAsia="Calibri" w:cs="Arial"/>
          <w:b/>
          <w:bCs/>
        </w:rPr>
        <w:t>A 5</w:t>
      </w:r>
      <w:r w:rsidR="003D6B89" w:rsidRPr="60EA432F">
        <w:rPr>
          <w:rFonts w:eastAsia="Calibri" w:cs="Arial"/>
          <w:b/>
          <w:bCs/>
        </w:rPr>
        <w:t>-</w:t>
      </w:r>
      <w:r w:rsidRPr="60EA432F">
        <w:rPr>
          <w:rFonts w:eastAsia="Calibri" w:cs="Arial"/>
          <w:b/>
          <w:bCs/>
        </w:rPr>
        <w:t>year HRA Investment Plan</w:t>
      </w:r>
      <w:r w:rsidRPr="60EA432F">
        <w:rPr>
          <w:rFonts w:eastAsia="Calibri" w:cs="Arial"/>
        </w:rPr>
        <w:t xml:space="preserve"> and delivery arra</w:t>
      </w:r>
      <w:r w:rsidR="003D6B89" w:rsidRPr="60EA432F">
        <w:rPr>
          <w:rFonts w:eastAsia="Calibri" w:cs="Arial"/>
        </w:rPr>
        <w:t>n</w:t>
      </w:r>
      <w:r w:rsidRPr="60EA432F">
        <w:rPr>
          <w:rFonts w:eastAsia="Calibri" w:cs="Arial"/>
        </w:rPr>
        <w:t>gements reflectin</w:t>
      </w:r>
      <w:r w:rsidR="003D6B89" w:rsidRPr="60EA432F">
        <w:rPr>
          <w:rFonts w:eastAsia="Calibri" w:cs="Arial"/>
        </w:rPr>
        <w:t>g</w:t>
      </w:r>
      <w:r w:rsidRPr="60EA432F">
        <w:rPr>
          <w:rFonts w:eastAsia="Calibri" w:cs="Arial"/>
        </w:rPr>
        <w:t xml:space="preserve"> the housing stock condition needs and related data, r</w:t>
      </w:r>
      <w:r w:rsidR="003D6B89" w:rsidRPr="60EA432F">
        <w:rPr>
          <w:rFonts w:eastAsia="Calibri" w:cs="Arial"/>
        </w:rPr>
        <w:t>es</w:t>
      </w:r>
      <w:r w:rsidRPr="60EA432F">
        <w:rPr>
          <w:rFonts w:eastAsia="Calibri" w:cs="Arial"/>
        </w:rPr>
        <w:t>ident survey feedback, the cost of programmes for works and services</w:t>
      </w:r>
      <w:r w:rsidR="009B3EE2" w:rsidRPr="60EA432F">
        <w:rPr>
          <w:rFonts w:eastAsia="Calibri" w:cs="Arial"/>
        </w:rPr>
        <w:t>,</w:t>
      </w:r>
      <w:r w:rsidRPr="60EA432F">
        <w:rPr>
          <w:rFonts w:eastAsia="Calibri" w:cs="Arial"/>
        </w:rPr>
        <w:t xml:space="preserve"> and </w:t>
      </w:r>
      <w:r w:rsidR="00530FBE" w:rsidRPr="60EA432F">
        <w:rPr>
          <w:rFonts w:eastAsia="Calibri" w:cs="Arial"/>
        </w:rPr>
        <w:t xml:space="preserve">the </w:t>
      </w:r>
      <w:r w:rsidRPr="60EA432F">
        <w:rPr>
          <w:rFonts w:eastAsia="Calibri" w:cs="Arial"/>
        </w:rPr>
        <w:t>client</w:t>
      </w:r>
      <w:r w:rsidR="00211815" w:rsidRPr="60EA432F">
        <w:rPr>
          <w:rFonts w:eastAsia="Calibri" w:cs="Arial"/>
        </w:rPr>
        <w:t xml:space="preserve"> management</w:t>
      </w:r>
      <w:r w:rsidRPr="60EA432F">
        <w:rPr>
          <w:rFonts w:eastAsia="Calibri" w:cs="Arial"/>
        </w:rPr>
        <w:t xml:space="preserve"> and commissioning arrangements to oversee the de</w:t>
      </w:r>
      <w:r w:rsidR="003D6B89" w:rsidRPr="60EA432F">
        <w:rPr>
          <w:rFonts w:eastAsia="Calibri" w:cs="Arial"/>
        </w:rPr>
        <w:t>l</w:t>
      </w:r>
      <w:r w:rsidRPr="60EA432F">
        <w:rPr>
          <w:rFonts w:eastAsia="Calibri" w:cs="Arial"/>
        </w:rPr>
        <w:t>ivery of the programme</w:t>
      </w:r>
      <w:r w:rsidR="000E3F75" w:rsidRPr="60EA432F">
        <w:rPr>
          <w:rFonts w:eastAsia="Calibri" w:cs="Arial"/>
        </w:rPr>
        <w:t>.</w:t>
      </w:r>
    </w:p>
    <w:p w14:paraId="7A4E124D" w14:textId="73CFA03D" w:rsidR="4A214EDD" w:rsidRPr="001E6726" w:rsidRDefault="4A214EDD" w:rsidP="009046B9">
      <w:pPr>
        <w:pStyle w:val="ListParagraph"/>
        <w:numPr>
          <w:ilvl w:val="0"/>
          <w:numId w:val="33"/>
        </w:numPr>
        <w:rPr>
          <w:rFonts w:eastAsia="Calibri" w:cs="Arial"/>
        </w:rPr>
      </w:pPr>
      <w:r w:rsidRPr="60EA432F">
        <w:rPr>
          <w:rFonts w:eastAsia="Calibri" w:cs="Arial"/>
          <w:b/>
          <w:bCs/>
        </w:rPr>
        <w:t>Asset Management St</w:t>
      </w:r>
      <w:r w:rsidR="003D6B89" w:rsidRPr="60EA432F">
        <w:rPr>
          <w:rFonts w:eastAsia="Calibri" w:cs="Arial"/>
          <w:b/>
          <w:bCs/>
        </w:rPr>
        <w:t>r</w:t>
      </w:r>
      <w:r w:rsidRPr="60EA432F">
        <w:rPr>
          <w:rFonts w:eastAsia="Calibri" w:cs="Arial"/>
          <w:b/>
          <w:bCs/>
        </w:rPr>
        <w:t>ategy – 2025-28</w:t>
      </w:r>
      <w:r w:rsidRPr="60EA432F">
        <w:rPr>
          <w:rFonts w:eastAsia="Calibri" w:cs="Arial"/>
        </w:rPr>
        <w:t xml:space="preserve"> – </w:t>
      </w:r>
      <w:r w:rsidR="0009508F" w:rsidRPr="60EA432F">
        <w:rPr>
          <w:rFonts w:eastAsia="Calibri" w:cs="Arial"/>
        </w:rPr>
        <w:t xml:space="preserve">The Plan is focused on the next three years and lays the foundations for the development of a longer-term Asset </w:t>
      </w:r>
      <w:r w:rsidR="0009508F" w:rsidRPr="60EA432F">
        <w:rPr>
          <w:rFonts w:eastAsia="Calibri" w:cs="Arial"/>
        </w:rPr>
        <w:lastRenderedPageBreak/>
        <w:t>Management Strategy. This reflects the pace of change in the sector and the need for a ‘step change’ in our approach as we embed the 'building blocks' of strategic asset management.</w:t>
      </w:r>
      <w:r w:rsidRPr="60EA432F">
        <w:rPr>
          <w:rFonts w:eastAsia="Calibri" w:cs="Arial"/>
        </w:rPr>
        <w:t xml:space="preserve"> </w:t>
      </w:r>
    </w:p>
    <w:p w14:paraId="383CAFC9" w14:textId="3E765D59" w:rsidR="4A214EDD" w:rsidRPr="001E6726" w:rsidRDefault="4A214EDD" w:rsidP="009046B9">
      <w:pPr>
        <w:pStyle w:val="ListParagraph"/>
        <w:numPr>
          <w:ilvl w:val="0"/>
          <w:numId w:val="33"/>
        </w:numPr>
        <w:rPr>
          <w:rFonts w:eastAsia="Calibri" w:cs="Arial"/>
        </w:rPr>
      </w:pPr>
      <w:r w:rsidRPr="60EA432F">
        <w:rPr>
          <w:rFonts w:eastAsia="Calibri" w:cs="Arial"/>
          <w:b/>
          <w:bCs/>
        </w:rPr>
        <w:t>40</w:t>
      </w:r>
      <w:r w:rsidR="00C108B6" w:rsidRPr="60EA432F">
        <w:rPr>
          <w:rFonts w:eastAsia="Calibri" w:cs="Arial"/>
          <w:b/>
          <w:bCs/>
        </w:rPr>
        <w:t>-</w:t>
      </w:r>
      <w:r w:rsidRPr="60EA432F">
        <w:rPr>
          <w:rFonts w:eastAsia="Calibri" w:cs="Arial"/>
          <w:b/>
          <w:bCs/>
        </w:rPr>
        <w:t>year HRA Business Plan</w:t>
      </w:r>
      <w:r w:rsidR="00C929A2" w:rsidRPr="60EA432F">
        <w:rPr>
          <w:rFonts w:eastAsia="Calibri" w:cs="Arial"/>
          <w:b/>
          <w:bCs/>
        </w:rPr>
        <w:t xml:space="preserve"> </w:t>
      </w:r>
      <w:r w:rsidR="00C929A2" w:rsidRPr="60EA432F">
        <w:rPr>
          <w:rFonts w:eastAsia="Calibri" w:cs="Arial"/>
        </w:rPr>
        <w:t xml:space="preserve">– outlining the </w:t>
      </w:r>
      <w:r w:rsidR="0074343D" w:rsidRPr="60EA432F">
        <w:rPr>
          <w:rFonts w:eastAsia="Calibri" w:cs="Arial"/>
        </w:rPr>
        <w:t xml:space="preserve">need to develop actions for enhancing the Plan baseline position and </w:t>
      </w:r>
      <w:r w:rsidR="007C2E0D" w:rsidRPr="60EA432F">
        <w:rPr>
          <w:rFonts w:eastAsia="Calibri" w:cs="Arial"/>
        </w:rPr>
        <w:t>develop</w:t>
      </w:r>
      <w:r w:rsidR="0074343D" w:rsidRPr="60EA432F">
        <w:rPr>
          <w:rFonts w:eastAsia="Calibri" w:cs="Arial"/>
        </w:rPr>
        <w:t xml:space="preserve"> proposals for determining </w:t>
      </w:r>
      <w:r w:rsidR="007C2E0D" w:rsidRPr="60EA432F">
        <w:rPr>
          <w:rFonts w:eastAsia="Calibri" w:cs="Arial"/>
        </w:rPr>
        <w:t>f</w:t>
      </w:r>
      <w:r w:rsidR="0074343D" w:rsidRPr="60EA432F">
        <w:rPr>
          <w:rFonts w:eastAsia="Calibri" w:cs="Arial"/>
        </w:rPr>
        <w:t>uture HRA investment priorities and choices beyond 2030/31</w:t>
      </w:r>
    </w:p>
    <w:p w14:paraId="0B6D215A" w14:textId="28ECCF57" w:rsidR="1EDB5DC6" w:rsidRDefault="1EDB5DC6" w:rsidP="1EDB5DC6"/>
    <w:p w14:paraId="110F07A2" w14:textId="0A6787C2" w:rsidR="007E525E" w:rsidRPr="00D30779" w:rsidRDefault="00A1032D" w:rsidP="00A1032D">
      <w:pPr>
        <w:pStyle w:val="Heading1"/>
        <w:ind w:left="709"/>
      </w:pPr>
      <w:r w:rsidRPr="00D30779">
        <w:t xml:space="preserve"> </w:t>
      </w:r>
    </w:p>
    <w:p w14:paraId="41A49288" w14:textId="547F74CE" w:rsidR="00B0098D" w:rsidRPr="00D30779" w:rsidRDefault="00B0098D" w:rsidP="009046B9">
      <w:pPr>
        <w:pStyle w:val="ListParagraph"/>
        <w:numPr>
          <w:ilvl w:val="0"/>
          <w:numId w:val="46"/>
        </w:numPr>
        <w:ind w:left="426" w:hanging="426"/>
      </w:pPr>
      <w:r w:rsidRPr="00D30779">
        <w:t xml:space="preserve">In managing </w:t>
      </w:r>
      <w:r w:rsidR="00092035" w:rsidRPr="00D30779">
        <w:t xml:space="preserve">the </w:t>
      </w:r>
      <w:r w:rsidRPr="00D30779">
        <w:t xml:space="preserve">future risks that will inevitably start to rise as more debt is taken on to facilitate new build housing and regeneration the </w:t>
      </w:r>
      <w:r w:rsidR="00A83DCC" w:rsidRPr="00D30779">
        <w:t xml:space="preserve">Head of Financial Services as well as paying attention to net income makes use of </w:t>
      </w:r>
      <w:r w:rsidRPr="00D30779">
        <w:t>Prudential indicators to manage these risks</w:t>
      </w:r>
      <w:r w:rsidR="00A83DCC" w:rsidRPr="00D30779">
        <w:t xml:space="preserve">. </w:t>
      </w:r>
      <w:r w:rsidRPr="00D30779">
        <w:t>Prudential indicators are used in the Treasury Management Strategy and are a matter of judgement by the Section 151 Officers but those typically used by banks and building societies to assist management would be:</w:t>
      </w:r>
    </w:p>
    <w:p w14:paraId="619655E1" w14:textId="77777777" w:rsidR="00B0098D" w:rsidRPr="00D30779" w:rsidRDefault="00B0098D" w:rsidP="00E801E2">
      <w:pPr>
        <w:ind w:left="426" w:hanging="426"/>
      </w:pPr>
    </w:p>
    <w:p w14:paraId="5F6976D9" w14:textId="56778069" w:rsidR="00B0098D" w:rsidRPr="00D30779" w:rsidRDefault="00B0098D" w:rsidP="009046B9">
      <w:pPr>
        <w:pStyle w:val="ListParagraph"/>
        <w:numPr>
          <w:ilvl w:val="0"/>
          <w:numId w:val="22"/>
        </w:numPr>
        <w:tabs>
          <w:tab w:val="left" w:pos="284"/>
        </w:tabs>
        <w:ind w:left="1418" w:hanging="284"/>
      </w:pPr>
      <w:r w:rsidRPr="00D30779">
        <w:t xml:space="preserve">Interest cover ratio – ratio of </w:t>
      </w:r>
      <w:r w:rsidR="007444C0" w:rsidRPr="00D30779">
        <w:t>operating</w:t>
      </w:r>
      <w:r w:rsidRPr="00D30779">
        <w:t xml:space="preserve"> surplus divided by interest cost i.e</w:t>
      </w:r>
      <w:r w:rsidR="007444C0" w:rsidRPr="00D30779">
        <w:t xml:space="preserve">. </w:t>
      </w:r>
      <w:r w:rsidRPr="00D30779">
        <w:t xml:space="preserve">how many times interest can be paid from </w:t>
      </w:r>
      <w:r w:rsidR="00097FD6" w:rsidRPr="00D30779">
        <w:t>surpluses.</w:t>
      </w:r>
    </w:p>
    <w:p w14:paraId="6C014210" w14:textId="11A0EFE6" w:rsidR="00B0098D" w:rsidRPr="00D30779" w:rsidRDefault="00B0098D" w:rsidP="009046B9">
      <w:pPr>
        <w:pStyle w:val="ListParagraph"/>
        <w:numPr>
          <w:ilvl w:val="0"/>
          <w:numId w:val="22"/>
        </w:numPr>
        <w:ind w:left="426" w:firstLine="708"/>
      </w:pPr>
      <w:r w:rsidRPr="00D30779">
        <w:t xml:space="preserve">Loan to value ratio- outstanding debt/ fixed asset value at year </w:t>
      </w:r>
      <w:r w:rsidR="00097FD6" w:rsidRPr="00D30779">
        <w:t>end.</w:t>
      </w:r>
      <w:r w:rsidR="787754DF" w:rsidRPr="00D30779">
        <w:t xml:space="preserve"> </w:t>
      </w:r>
    </w:p>
    <w:p w14:paraId="07505AD9" w14:textId="7033351A" w:rsidR="00B0098D" w:rsidRPr="00D30779" w:rsidRDefault="00B0098D" w:rsidP="009046B9">
      <w:pPr>
        <w:pStyle w:val="ListParagraph"/>
        <w:numPr>
          <w:ilvl w:val="0"/>
          <w:numId w:val="22"/>
        </w:numPr>
        <w:ind w:left="1560" w:hanging="426"/>
      </w:pPr>
      <w:r w:rsidRPr="00D30779">
        <w:t>Debt to income ratio – Turnover / debt</w:t>
      </w:r>
    </w:p>
    <w:p w14:paraId="30B9F433" w14:textId="77777777" w:rsidR="00B0098D" w:rsidRPr="00D30779" w:rsidRDefault="00B0098D" w:rsidP="00F15D28">
      <w:pPr>
        <w:ind w:left="709"/>
      </w:pPr>
    </w:p>
    <w:p w14:paraId="68DA194C" w14:textId="2F79D104" w:rsidR="00303D05" w:rsidRPr="00D30779" w:rsidRDefault="00B0098D" w:rsidP="009046B9">
      <w:pPr>
        <w:pStyle w:val="ListParagraph"/>
        <w:numPr>
          <w:ilvl w:val="0"/>
          <w:numId w:val="47"/>
        </w:numPr>
        <w:ind w:left="426" w:hanging="426"/>
      </w:pPr>
      <w:r>
        <w:t xml:space="preserve">The most widely used ratio is </w:t>
      </w:r>
      <w:r w:rsidR="007444C0">
        <w:t>interest</w:t>
      </w:r>
      <w:r>
        <w:t xml:space="preserve"> cover </w:t>
      </w:r>
      <w:r w:rsidR="371C3A11">
        <w:t xml:space="preserve">and used by the Council </w:t>
      </w:r>
      <w:r w:rsidR="003E060B">
        <w:t xml:space="preserve">which measures how many times surpluses cover the interest charge </w:t>
      </w:r>
      <w:r>
        <w:t xml:space="preserve">and </w:t>
      </w:r>
      <w:r w:rsidR="007444C0">
        <w:t>typically</w:t>
      </w:r>
      <w:r>
        <w:t xml:space="preserve"> Registered Providers would operate on a </w:t>
      </w:r>
      <w:r w:rsidR="007E7FA6">
        <w:t>ratio</w:t>
      </w:r>
      <w:r>
        <w:t xml:space="preserve"> of 1.72:1 and 2.1:1. As a golden rule 1.25:1 would be acceptable especially given the </w:t>
      </w:r>
      <w:r w:rsidR="000D4B92">
        <w:t xml:space="preserve">significant housing development being undertaken by the Council. </w:t>
      </w:r>
    </w:p>
    <w:p w14:paraId="12097179" w14:textId="77777777" w:rsidR="00303D05" w:rsidRPr="00142191" w:rsidRDefault="00303D05" w:rsidP="00F15D28">
      <w:pPr>
        <w:ind w:left="709"/>
      </w:pPr>
    </w:p>
    <w:p w14:paraId="0F52E1E9" w14:textId="6F3A0E27" w:rsidR="00B0098D" w:rsidRPr="00142191" w:rsidRDefault="00303D05" w:rsidP="009046B9">
      <w:pPr>
        <w:pStyle w:val="ListParagraph"/>
        <w:numPr>
          <w:ilvl w:val="0"/>
          <w:numId w:val="47"/>
        </w:numPr>
        <w:ind w:left="426" w:hanging="426"/>
      </w:pPr>
      <w:r>
        <w:t xml:space="preserve">In preparation of the revised HRA Business Plan </w:t>
      </w:r>
      <w:r w:rsidR="000D4B92">
        <w:t xml:space="preserve">the Section 151 Officer has agreed a trajectory of interest cover ratio </w:t>
      </w:r>
      <w:r w:rsidR="00DD2FE0">
        <w:t xml:space="preserve">to </w:t>
      </w:r>
      <w:r w:rsidR="000D4B92">
        <w:t xml:space="preserve">1.25: 1 over </w:t>
      </w:r>
      <w:r w:rsidR="00DD2FE0">
        <w:t>the f</w:t>
      </w:r>
      <w:r w:rsidR="000D4B92">
        <w:t xml:space="preserve">irst 4 years of the Business Plan and thereafter budgeted spend is approved </w:t>
      </w:r>
      <w:r>
        <w:t xml:space="preserve">which seeks to ensure that this </w:t>
      </w:r>
      <w:r w:rsidR="000D4B92">
        <w:t xml:space="preserve">ratio </w:t>
      </w:r>
      <w:r>
        <w:t xml:space="preserve">is maintained at a level of at </w:t>
      </w:r>
      <w:r w:rsidR="000D4B92">
        <w:t xml:space="preserve">least 1.25:1. </w:t>
      </w:r>
    </w:p>
    <w:p w14:paraId="79B16EE6" w14:textId="77777777" w:rsidR="000D4B92" w:rsidRPr="00142191" w:rsidRDefault="000D4B92" w:rsidP="00F15D28">
      <w:pPr>
        <w:ind w:left="709"/>
      </w:pPr>
    </w:p>
    <w:p w14:paraId="26F863CB" w14:textId="297C429B" w:rsidR="000D4B92" w:rsidRPr="00142191" w:rsidRDefault="00303D05" w:rsidP="009046B9">
      <w:pPr>
        <w:pStyle w:val="ListParagraph"/>
        <w:numPr>
          <w:ilvl w:val="0"/>
          <w:numId w:val="47"/>
        </w:numPr>
        <w:ind w:left="426" w:hanging="426"/>
      </w:pPr>
      <w:r>
        <w:t xml:space="preserve">The chart below shows this ratio </w:t>
      </w:r>
      <w:r w:rsidR="00CA0468">
        <w:t>graphically.</w:t>
      </w:r>
      <w:r>
        <w:t xml:space="preserve"> </w:t>
      </w:r>
    </w:p>
    <w:p w14:paraId="779DB082" w14:textId="77777777" w:rsidR="00092035" w:rsidRPr="00142191" w:rsidRDefault="00092035" w:rsidP="00142191"/>
    <w:p w14:paraId="3D5ECB5F" w14:textId="77777777" w:rsidR="00F42D9C" w:rsidRDefault="00F42D9C" w:rsidP="00A83DCC">
      <w:pPr>
        <w:ind w:left="709" w:hanging="709"/>
        <w:rPr>
          <w:rFonts w:eastAsia="Calibri" w:cs="Arial"/>
          <w:b/>
        </w:rPr>
      </w:pPr>
    </w:p>
    <w:p w14:paraId="0D49461F" w14:textId="5BE064C5" w:rsidR="00A83DCC" w:rsidRDefault="00893574" w:rsidP="00A83DCC">
      <w:pPr>
        <w:ind w:left="709" w:hanging="709"/>
        <w:rPr>
          <w:rFonts w:eastAsia="Calibri" w:cs="Arial"/>
          <w:b/>
        </w:rPr>
      </w:pPr>
      <w:r w:rsidRPr="00142191">
        <w:rPr>
          <w:rFonts w:eastAsia="Calibri" w:cs="Arial"/>
          <w:b/>
        </w:rPr>
        <w:t>Table 7</w:t>
      </w:r>
      <w:r w:rsidR="00A83DCC" w:rsidRPr="00142191">
        <w:rPr>
          <w:rFonts w:eastAsia="Calibri" w:cs="Arial"/>
          <w:b/>
        </w:rPr>
        <w:t>: Impact on Interest Cover Ratio</w:t>
      </w:r>
    </w:p>
    <w:p w14:paraId="615D2B17" w14:textId="4E4AF71C" w:rsidR="004843EE" w:rsidRPr="00142191" w:rsidRDefault="004843EE" w:rsidP="00A83DCC">
      <w:pPr>
        <w:ind w:left="709" w:hanging="709"/>
        <w:rPr>
          <w:rFonts w:eastAsia="Calibri" w:cs="Arial"/>
          <w:b/>
        </w:rPr>
      </w:pPr>
      <w:r w:rsidRPr="0069738D">
        <w:rPr>
          <w:noProof/>
        </w:rPr>
        <w:lastRenderedPageBreak/>
        <w:drawing>
          <wp:inline distT="0" distB="0" distL="0" distR="0" wp14:anchorId="2CF6BA46" wp14:editId="4555E2AE">
            <wp:extent cx="6069384" cy="3705225"/>
            <wp:effectExtent l="0" t="0" r="0" b="0"/>
            <wp:docPr id="1870204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69384" cy="3705225"/>
                    </a:xfrm>
                    <a:prstGeom prst="rect">
                      <a:avLst/>
                    </a:prstGeom>
                    <a:noFill/>
                    <a:ln>
                      <a:noFill/>
                    </a:ln>
                  </pic:spPr>
                </pic:pic>
              </a:graphicData>
            </a:graphic>
          </wp:inline>
        </w:drawing>
      </w:r>
    </w:p>
    <w:p w14:paraId="66ECBA00" w14:textId="04BC9BE9" w:rsidR="00067B5C" w:rsidRPr="00B96FC0" w:rsidRDefault="00067B5C" w:rsidP="00A83DCC">
      <w:pPr>
        <w:ind w:left="709" w:hanging="709"/>
        <w:rPr>
          <w:rFonts w:eastAsia="Calibri" w:cs="Arial"/>
          <w:b/>
          <w:highlight w:val="yellow"/>
        </w:rPr>
      </w:pPr>
    </w:p>
    <w:p w14:paraId="22A88FCF" w14:textId="332BDF07" w:rsidR="00067B5C" w:rsidRPr="00B96FC0" w:rsidRDefault="00067B5C" w:rsidP="00A83DCC">
      <w:pPr>
        <w:ind w:left="709" w:hanging="709"/>
        <w:rPr>
          <w:rFonts w:eastAsia="Calibri" w:cs="Arial"/>
          <w:b/>
          <w:highlight w:val="yellow"/>
        </w:rPr>
      </w:pPr>
    </w:p>
    <w:p w14:paraId="1B9E6691" w14:textId="2E53F532" w:rsidR="00C54225" w:rsidRPr="00B96FC0" w:rsidRDefault="6775318B" w:rsidP="00A83DCC">
      <w:pPr>
        <w:ind w:left="709" w:hanging="709"/>
        <w:rPr>
          <w:rFonts w:eastAsia="Calibri" w:cs="Arial"/>
        </w:rPr>
      </w:pPr>
      <w:r w:rsidRPr="1EDB5DC6">
        <w:rPr>
          <w:rFonts w:eastAsia="Calibri" w:cs="Arial"/>
        </w:rPr>
        <w:t>In line with the assumptions below</w:t>
      </w:r>
      <w:r w:rsidR="3274A3C7" w:rsidRPr="1EDB5DC6">
        <w:rPr>
          <w:rFonts w:eastAsia="Calibri" w:cs="Arial"/>
        </w:rPr>
        <w:t xml:space="preserve"> the above chart indicates</w:t>
      </w:r>
    </w:p>
    <w:p w14:paraId="6A1C280D" w14:textId="33CA014B" w:rsidR="1EDB5DC6" w:rsidRDefault="1EDB5DC6" w:rsidP="1EDB5DC6">
      <w:pPr>
        <w:ind w:left="709" w:hanging="709"/>
        <w:rPr>
          <w:rFonts w:eastAsia="Calibri" w:cs="Arial"/>
        </w:rPr>
      </w:pPr>
    </w:p>
    <w:p w14:paraId="2CEA6328" w14:textId="49391AC5" w:rsidR="3274A3C7" w:rsidRDefault="3274A3C7" w:rsidP="009046B9">
      <w:pPr>
        <w:pStyle w:val="ListParagraph"/>
        <w:numPr>
          <w:ilvl w:val="0"/>
          <w:numId w:val="34"/>
        </w:numPr>
        <w:rPr>
          <w:rFonts w:eastAsia="Calibri" w:cs="Arial"/>
        </w:rPr>
      </w:pPr>
      <w:r w:rsidRPr="1EDB5DC6">
        <w:rPr>
          <w:rFonts w:eastAsia="Calibri" w:cs="Arial"/>
        </w:rPr>
        <w:t xml:space="preserve">In the baseline position (before overlaying the rent increase projections) the </w:t>
      </w:r>
      <w:r w:rsidR="19184DBA" w:rsidRPr="1EDB5DC6">
        <w:rPr>
          <w:rFonts w:eastAsia="Calibri" w:cs="Arial"/>
        </w:rPr>
        <w:t xml:space="preserve">HRA programme is borderline affordable although the </w:t>
      </w:r>
      <w:r w:rsidRPr="1EDB5DC6">
        <w:rPr>
          <w:rFonts w:eastAsia="Calibri" w:cs="Arial"/>
        </w:rPr>
        <w:t xml:space="preserve">ICR is breached in </w:t>
      </w:r>
      <w:proofErr w:type="gramStart"/>
      <w:r w:rsidRPr="1EDB5DC6">
        <w:rPr>
          <w:rFonts w:eastAsia="Calibri" w:cs="Arial"/>
        </w:rPr>
        <w:t>a number of</w:t>
      </w:r>
      <w:proofErr w:type="gramEnd"/>
      <w:r w:rsidRPr="1EDB5DC6">
        <w:rPr>
          <w:rFonts w:eastAsia="Calibri" w:cs="Arial"/>
        </w:rPr>
        <w:t xml:space="preserve"> years </w:t>
      </w:r>
      <w:r w:rsidR="289BA152" w:rsidRPr="1EDB5DC6">
        <w:rPr>
          <w:rFonts w:eastAsia="Calibri" w:cs="Arial"/>
        </w:rPr>
        <w:t xml:space="preserve">2028-29 to 2030-31. There is in effect no </w:t>
      </w:r>
      <w:r w:rsidR="3CB15B83" w:rsidRPr="1EDB5DC6">
        <w:rPr>
          <w:rFonts w:eastAsia="Calibri" w:cs="Arial"/>
        </w:rPr>
        <w:t>capacity</w:t>
      </w:r>
      <w:r w:rsidR="289BA152" w:rsidRPr="1EDB5DC6">
        <w:rPr>
          <w:rFonts w:eastAsia="Calibri" w:cs="Arial"/>
        </w:rPr>
        <w:t xml:space="preserve"> for further spend in the HRA Bu</w:t>
      </w:r>
      <w:r w:rsidR="7FD7A969" w:rsidRPr="1EDB5DC6">
        <w:rPr>
          <w:rFonts w:eastAsia="Calibri" w:cs="Arial"/>
        </w:rPr>
        <w:t>s</w:t>
      </w:r>
      <w:r w:rsidR="289BA152" w:rsidRPr="1EDB5DC6">
        <w:rPr>
          <w:rFonts w:eastAsia="Calibri" w:cs="Arial"/>
        </w:rPr>
        <w:t>iness Plan i</w:t>
      </w:r>
      <w:r w:rsidR="3E8D27D3" w:rsidRPr="1EDB5DC6">
        <w:rPr>
          <w:rFonts w:eastAsia="Calibri" w:cs="Arial"/>
        </w:rPr>
        <w:t xml:space="preserve">n the medium </w:t>
      </w:r>
      <w:proofErr w:type="gramStart"/>
      <w:r w:rsidR="3E8D27D3" w:rsidRPr="1EDB5DC6">
        <w:rPr>
          <w:rFonts w:eastAsia="Calibri" w:cs="Arial"/>
        </w:rPr>
        <w:t>term</w:t>
      </w:r>
      <w:proofErr w:type="gramEnd"/>
    </w:p>
    <w:p w14:paraId="201BF915" w14:textId="4EA8D993" w:rsidR="019B4570" w:rsidRDefault="019B4570" w:rsidP="009046B9">
      <w:pPr>
        <w:pStyle w:val="ListParagraph"/>
        <w:numPr>
          <w:ilvl w:val="0"/>
          <w:numId w:val="34"/>
        </w:numPr>
        <w:rPr>
          <w:rFonts w:eastAsia="Calibri" w:cs="Arial"/>
        </w:rPr>
      </w:pPr>
      <w:r w:rsidRPr="1EDB5DC6">
        <w:rPr>
          <w:rFonts w:eastAsia="Calibri" w:cs="Arial"/>
        </w:rPr>
        <w:t xml:space="preserve">Assuming rent increases will be extended at CPI +1% for the 5 years post 2025-26 then </w:t>
      </w:r>
      <w:r w:rsidR="2BBB091B" w:rsidRPr="1EDB5DC6">
        <w:rPr>
          <w:rFonts w:eastAsia="Calibri" w:cs="Arial"/>
        </w:rPr>
        <w:t xml:space="preserve">HRA borrowing capacity </w:t>
      </w:r>
      <w:r w:rsidR="68576A6D" w:rsidRPr="1EDB5DC6">
        <w:rPr>
          <w:rFonts w:eastAsia="Calibri" w:cs="Arial"/>
        </w:rPr>
        <w:t>increases</w:t>
      </w:r>
      <w:r w:rsidR="2BBB091B" w:rsidRPr="1EDB5DC6">
        <w:rPr>
          <w:rFonts w:eastAsia="Calibri" w:cs="Arial"/>
        </w:rPr>
        <w:t xml:space="preserve"> from around 2030-31 by as </w:t>
      </w:r>
      <w:r w:rsidR="659FC3C3" w:rsidRPr="1EDB5DC6">
        <w:rPr>
          <w:rFonts w:eastAsia="Calibri" w:cs="Arial"/>
        </w:rPr>
        <w:t>much</w:t>
      </w:r>
      <w:r w:rsidR="2BBB091B" w:rsidRPr="1EDB5DC6">
        <w:rPr>
          <w:rFonts w:eastAsia="Calibri" w:cs="Arial"/>
        </w:rPr>
        <w:t xml:space="preserve"> as £70million. This assumption has been</w:t>
      </w:r>
      <w:r w:rsidR="21634967" w:rsidRPr="1EDB5DC6">
        <w:rPr>
          <w:rFonts w:eastAsia="Calibri" w:cs="Arial"/>
        </w:rPr>
        <w:t xml:space="preserve"> used in the preparation of the HRA </w:t>
      </w:r>
      <w:r w:rsidR="788F114B" w:rsidRPr="1EDB5DC6">
        <w:rPr>
          <w:rFonts w:eastAsia="Calibri" w:cs="Arial"/>
        </w:rPr>
        <w:t>Business</w:t>
      </w:r>
      <w:r w:rsidR="21634967" w:rsidRPr="1EDB5DC6">
        <w:rPr>
          <w:rFonts w:eastAsia="Calibri" w:cs="Arial"/>
        </w:rPr>
        <w:t xml:space="preserve"> Plan as the most likely option. </w:t>
      </w:r>
    </w:p>
    <w:p w14:paraId="516D88EB" w14:textId="0EDA32AF" w:rsidR="2AB91E2C" w:rsidRDefault="21634967" w:rsidP="009046B9">
      <w:pPr>
        <w:pStyle w:val="ListParagraph"/>
        <w:numPr>
          <w:ilvl w:val="0"/>
          <w:numId w:val="34"/>
        </w:numPr>
        <w:rPr>
          <w:rFonts w:eastAsia="Calibri" w:cs="Arial"/>
        </w:rPr>
      </w:pPr>
      <w:r w:rsidRPr="6F9FB908">
        <w:rPr>
          <w:rFonts w:eastAsia="Calibri" w:cs="Arial"/>
        </w:rPr>
        <w:t xml:space="preserve">If rent </w:t>
      </w:r>
      <w:r w:rsidR="74FBA6B4" w:rsidRPr="6F9FB908">
        <w:rPr>
          <w:rFonts w:eastAsia="Calibri" w:cs="Arial"/>
        </w:rPr>
        <w:t>increases</w:t>
      </w:r>
      <w:r w:rsidRPr="6F9FB908">
        <w:rPr>
          <w:rFonts w:eastAsia="Calibri" w:cs="Arial"/>
        </w:rPr>
        <w:t xml:space="preserve"> are extended at CPI+1% for a period of 10 years post 2025-26 then further borrowing </w:t>
      </w:r>
      <w:r w:rsidR="7A0B99DA" w:rsidRPr="6F9FB908">
        <w:rPr>
          <w:rFonts w:eastAsia="Calibri" w:cs="Arial"/>
        </w:rPr>
        <w:t>capacity</w:t>
      </w:r>
      <w:r w:rsidRPr="6F9FB908">
        <w:rPr>
          <w:rFonts w:eastAsia="Calibri" w:cs="Arial"/>
        </w:rPr>
        <w:t xml:space="preserve"> of around £100m </w:t>
      </w:r>
      <w:r w:rsidR="296B1A84" w:rsidRPr="6F9FB908">
        <w:rPr>
          <w:rFonts w:eastAsia="Calibri" w:cs="Arial"/>
        </w:rPr>
        <w:t>increases</w:t>
      </w:r>
      <w:r w:rsidR="6683CA61" w:rsidRPr="6F9FB908">
        <w:rPr>
          <w:rFonts w:eastAsia="Calibri" w:cs="Arial"/>
        </w:rPr>
        <w:t xml:space="preserve"> from around 2030-31. </w:t>
      </w:r>
      <w:r w:rsidRPr="6F9FB908">
        <w:rPr>
          <w:rFonts w:eastAsia="Calibri" w:cs="Arial"/>
        </w:rPr>
        <w:t xml:space="preserve"> </w:t>
      </w:r>
      <w:r w:rsidR="019B4570" w:rsidRPr="6F9FB908">
        <w:rPr>
          <w:rFonts w:eastAsia="Calibri" w:cs="Arial"/>
        </w:rPr>
        <w:t xml:space="preserve"> </w:t>
      </w:r>
      <w:r w:rsidR="2AB91E2C" w:rsidRPr="6F9FB908">
        <w:rPr>
          <w:rFonts w:eastAsia="Calibri" w:cs="Arial"/>
        </w:rPr>
        <w:t>Although not in</w:t>
      </w:r>
      <w:r w:rsidR="002C7326" w:rsidRPr="6F9FB908">
        <w:rPr>
          <w:rFonts w:eastAsia="Calibri" w:cs="Arial"/>
        </w:rPr>
        <w:t>cluded over</w:t>
      </w:r>
      <w:r w:rsidR="2AB91E2C" w:rsidRPr="6F9FB908">
        <w:rPr>
          <w:rFonts w:eastAsia="Calibri" w:cs="Arial"/>
        </w:rPr>
        <w:t xml:space="preserve"> the next 5 years</w:t>
      </w:r>
      <w:r w:rsidR="6244D918" w:rsidRPr="6F9FB908">
        <w:rPr>
          <w:rFonts w:eastAsia="Calibri" w:cs="Arial"/>
        </w:rPr>
        <w:t>,</w:t>
      </w:r>
      <w:r w:rsidR="2AB91E2C" w:rsidRPr="6F9FB908">
        <w:rPr>
          <w:rFonts w:eastAsia="Calibri" w:cs="Arial"/>
        </w:rPr>
        <w:t xml:space="preserve"> the council will have choices of where to spend the additional borrowing capacity that is </w:t>
      </w:r>
      <w:r w:rsidR="7D263A3B" w:rsidRPr="6F9FB908">
        <w:rPr>
          <w:rFonts w:eastAsia="Calibri" w:cs="Arial"/>
        </w:rPr>
        <w:t>expected</w:t>
      </w:r>
      <w:r w:rsidR="2AB91E2C" w:rsidRPr="6F9FB908">
        <w:rPr>
          <w:rFonts w:eastAsia="Calibri" w:cs="Arial"/>
        </w:rPr>
        <w:t xml:space="preserve"> to arise from 2030 onwards. Although not exhaustive </w:t>
      </w:r>
      <w:r w:rsidR="384ACB15" w:rsidRPr="6F9FB908">
        <w:rPr>
          <w:rFonts w:eastAsia="Calibri" w:cs="Arial"/>
        </w:rPr>
        <w:t>th</w:t>
      </w:r>
      <w:r w:rsidR="7FFB48E9" w:rsidRPr="6F9FB908">
        <w:rPr>
          <w:rFonts w:eastAsia="Calibri" w:cs="Arial"/>
        </w:rPr>
        <w:t>e</w:t>
      </w:r>
      <w:r w:rsidR="384ACB15" w:rsidRPr="6F9FB908">
        <w:rPr>
          <w:rFonts w:eastAsia="Calibri" w:cs="Arial"/>
        </w:rPr>
        <w:t>se choices</w:t>
      </w:r>
      <w:r w:rsidR="387CEBB4" w:rsidRPr="6F9FB908">
        <w:rPr>
          <w:rFonts w:eastAsia="Calibri" w:cs="Arial"/>
        </w:rPr>
        <w:t xml:space="preserve"> would </w:t>
      </w:r>
      <w:r w:rsidR="286E29B0" w:rsidRPr="6F9FB908">
        <w:rPr>
          <w:rFonts w:eastAsia="Calibri" w:cs="Arial"/>
        </w:rPr>
        <w:t>include:</w:t>
      </w:r>
    </w:p>
    <w:p w14:paraId="2B2B5F87" w14:textId="77777777" w:rsidR="00344269" w:rsidRPr="00653060" w:rsidRDefault="00344269" w:rsidP="00344269">
      <w:pPr>
        <w:pStyle w:val="ListParagraph"/>
        <w:rPr>
          <w:rFonts w:eastAsia="Calibri" w:cs="Arial"/>
        </w:rPr>
      </w:pPr>
    </w:p>
    <w:p w14:paraId="0F4EC8BA" w14:textId="17012F82" w:rsidR="387CEBB4" w:rsidRPr="00653060" w:rsidRDefault="387CEBB4" w:rsidP="009046B9">
      <w:pPr>
        <w:pStyle w:val="ListParagraph"/>
        <w:numPr>
          <w:ilvl w:val="0"/>
          <w:numId w:val="32"/>
        </w:numPr>
        <w:rPr>
          <w:rFonts w:eastAsia="Calibri" w:cs="Arial"/>
        </w:rPr>
      </w:pPr>
      <w:r w:rsidRPr="00653060">
        <w:rPr>
          <w:rFonts w:eastAsia="Calibri" w:cs="Arial"/>
          <w:b/>
          <w:bCs/>
        </w:rPr>
        <w:t>Existing dwellings</w:t>
      </w:r>
      <w:r w:rsidRPr="00653060">
        <w:rPr>
          <w:rFonts w:eastAsia="Calibri" w:cs="Arial"/>
        </w:rPr>
        <w:t xml:space="preserve"> – the government will </w:t>
      </w:r>
      <w:r w:rsidR="195F2F75" w:rsidRPr="00653060">
        <w:rPr>
          <w:rFonts w:eastAsia="Calibri" w:cs="Arial"/>
        </w:rPr>
        <w:t xml:space="preserve">be consulting </w:t>
      </w:r>
      <w:r w:rsidRPr="00653060">
        <w:rPr>
          <w:rFonts w:eastAsia="Calibri" w:cs="Arial"/>
        </w:rPr>
        <w:t xml:space="preserve">in February on </w:t>
      </w:r>
      <w:r w:rsidR="65D4B2A6" w:rsidRPr="00653060">
        <w:rPr>
          <w:rFonts w:eastAsia="Calibri" w:cs="Arial"/>
        </w:rPr>
        <w:t>an updated</w:t>
      </w:r>
      <w:r w:rsidRPr="00653060">
        <w:rPr>
          <w:rFonts w:eastAsia="Calibri" w:cs="Arial"/>
        </w:rPr>
        <w:t xml:space="preserve"> </w:t>
      </w:r>
      <w:r w:rsidR="00CC055A" w:rsidRPr="00653060">
        <w:rPr>
          <w:rFonts w:eastAsia="Calibri" w:cs="Arial"/>
        </w:rPr>
        <w:t>D</w:t>
      </w:r>
      <w:r w:rsidR="565D1259" w:rsidRPr="00653060">
        <w:rPr>
          <w:rFonts w:eastAsia="Calibri" w:cs="Arial"/>
        </w:rPr>
        <w:t xml:space="preserve">ecent </w:t>
      </w:r>
      <w:r w:rsidR="00CC055A" w:rsidRPr="00653060">
        <w:rPr>
          <w:rFonts w:eastAsia="Calibri" w:cs="Arial"/>
        </w:rPr>
        <w:t>H</w:t>
      </w:r>
      <w:r w:rsidR="565D1259" w:rsidRPr="00653060">
        <w:rPr>
          <w:rFonts w:eastAsia="Calibri" w:cs="Arial"/>
        </w:rPr>
        <w:t xml:space="preserve">omes policy. This may </w:t>
      </w:r>
      <w:r w:rsidR="00260D9F" w:rsidRPr="00653060">
        <w:rPr>
          <w:rFonts w:eastAsia="Calibri" w:cs="Arial"/>
        </w:rPr>
        <w:t>require</w:t>
      </w:r>
      <w:r w:rsidR="565D1259" w:rsidRPr="00653060">
        <w:rPr>
          <w:rFonts w:eastAsia="Calibri" w:cs="Arial"/>
        </w:rPr>
        <w:t xml:space="preserve"> additional </w:t>
      </w:r>
      <w:r w:rsidR="00260D9F" w:rsidRPr="00653060">
        <w:rPr>
          <w:rFonts w:eastAsia="Calibri" w:cs="Arial"/>
        </w:rPr>
        <w:t>investment</w:t>
      </w:r>
      <w:r w:rsidR="565D1259" w:rsidRPr="00653060">
        <w:rPr>
          <w:rFonts w:eastAsia="Calibri" w:cs="Arial"/>
        </w:rPr>
        <w:t xml:space="preserve"> which is not currently in the programme</w:t>
      </w:r>
      <w:r w:rsidR="00510EC9" w:rsidRPr="00653060">
        <w:rPr>
          <w:rFonts w:eastAsia="Calibri" w:cs="Arial"/>
        </w:rPr>
        <w:t>.</w:t>
      </w:r>
    </w:p>
    <w:p w14:paraId="29B8EC7F" w14:textId="2E63B44D" w:rsidR="565D1259" w:rsidRPr="00211149" w:rsidRDefault="565D1259" w:rsidP="009046B9">
      <w:pPr>
        <w:pStyle w:val="ListParagraph"/>
        <w:numPr>
          <w:ilvl w:val="0"/>
          <w:numId w:val="32"/>
        </w:numPr>
        <w:rPr>
          <w:rFonts w:eastAsia="Calibri" w:cs="Arial"/>
        </w:rPr>
      </w:pPr>
      <w:r w:rsidRPr="00653060">
        <w:rPr>
          <w:rFonts w:eastAsia="Calibri" w:cs="Arial"/>
          <w:b/>
          <w:bCs/>
        </w:rPr>
        <w:t xml:space="preserve">Zero carbon works </w:t>
      </w:r>
      <w:r w:rsidRPr="00653060">
        <w:rPr>
          <w:rFonts w:eastAsia="Calibri" w:cs="Arial"/>
        </w:rPr>
        <w:t xml:space="preserve">– Included within the </w:t>
      </w:r>
      <w:r w:rsidR="00877046" w:rsidRPr="00653060">
        <w:rPr>
          <w:rFonts w:eastAsia="Calibri" w:cs="Arial"/>
        </w:rPr>
        <w:t>5</w:t>
      </w:r>
      <w:r w:rsidR="004D3722" w:rsidRPr="00653060">
        <w:rPr>
          <w:rFonts w:eastAsia="Calibri" w:cs="Arial"/>
        </w:rPr>
        <w:t xml:space="preserve">-year </w:t>
      </w:r>
      <w:r w:rsidR="00877046" w:rsidRPr="00653060">
        <w:rPr>
          <w:rFonts w:eastAsia="Calibri" w:cs="Arial"/>
        </w:rPr>
        <w:t>Investment</w:t>
      </w:r>
      <w:r w:rsidR="00285A1F" w:rsidRPr="00653060">
        <w:rPr>
          <w:rFonts w:eastAsia="Calibri" w:cs="Arial"/>
        </w:rPr>
        <w:t xml:space="preserve"> P</w:t>
      </w:r>
      <w:r w:rsidRPr="00653060">
        <w:rPr>
          <w:rFonts w:eastAsia="Calibri" w:cs="Arial"/>
        </w:rPr>
        <w:t>lan is £</w:t>
      </w:r>
      <w:r w:rsidR="00877046" w:rsidRPr="00653060">
        <w:rPr>
          <w:rFonts w:eastAsia="Calibri" w:cs="Arial"/>
        </w:rPr>
        <w:t>22</w:t>
      </w:r>
      <w:r w:rsidR="00B3587F" w:rsidRPr="00653060">
        <w:rPr>
          <w:rFonts w:eastAsia="Calibri" w:cs="Arial"/>
        </w:rPr>
        <w:t xml:space="preserve"> </w:t>
      </w:r>
      <w:r w:rsidR="00704330" w:rsidRPr="00653060">
        <w:rPr>
          <w:rFonts w:eastAsia="Calibri" w:cs="Arial"/>
        </w:rPr>
        <w:t>million</w:t>
      </w:r>
      <w:r w:rsidR="00034D3C" w:rsidRPr="00653060">
        <w:rPr>
          <w:rFonts w:eastAsia="Calibri" w:cs="Arial"/>
        </w:rPr>
        <w:t xml:space="preserve"> </w:t>
      </w:r>
      <w:r w:rsidRPr="00653060">
        <w:rPr>
          <w:rFonts w:eastAsia="Calibri" w:cs="Arial"/>
        </w:rPr>
        <w:t>for energy eff</w:t>
      </w:r>
      <w:r w:rsidR="1AD9A12E" w:rsidRPr="00653060">
        <w:rPr>
          <w:rFonts w:eastAsia="Calibri" w:cs="Arial"/>
        </w:rPr>
        <w:t>i</w:t>
      </w:r>
      <w:r w:rsidRPr="00653060">
        <w:rPr>
          <w:rFonts w:eastAsia="Calibri" w:cs="Arial"/>
        </w:rPr>
        <w:t>ci</w:t>
      </w:r>
      <w:r w:rsidR="1CE87428" w:rsidRPr="00653060">
        <w:rPr>
          <w:rFonts w:eastAsia="Calibri" w:cs="Arial"/>
        </w:rPr>
        <w:t>enc</w:t>
      </w:r>
      <w:r w:rsidRPr="00653060">
        <w:rPr>
          <w:rFonts w:eastAsia="Calibri" w:cs="Arial"/>
        </w:rPr>
        <w:t>y works which will assist w</w:t>
      </w:r>
      <w:r w:rsidR="7E612D40" w:rsidRPr="00653060">
        <w:rPr>
          <w:rFonts w:eastAsia="Calibri" w:cs="Arial"/>
        </w:rPr>
        <w:t>i</w:t>
      </w:r>
      <w:r w:rsidRPr="00653060">
        <w:rPr>
          <w:rFonts w:eastAsia="Calibri" w:cs="Arial"/>
        </w:rPr>
        <w:t xml:space="preserve">th progressing the </w:t>
      </w:r>
      <w:r w:rsidR="085DC0C6" w:rsidRPr="00653060">
        <w:rPr>
          <w:rFonts w:eastAsia="Calibri" w:cs="Arial"/>
        </w:rPr>
        <w:t xml:space="preserve">council towards zero carbon by </w:t>
      </w:r>
      <w:r w:rsidR="0064039A" w:rsidRPr="00653060">
        <w:rPr>
          <w:rFonts w:eastAsia="Calibri" w:cs="Arial"/>
        </w:rPr>
        <w:t>2040.</w:t>
      </w:r>
      <w:r w:rsidR="085DC0C6" w:rsidRPr="00653060">
        <w:rPr>
          <w:rFonts w:eastAsia="Calibri" w:cs="Arial"/>
        </w:rPr>
        <w:t xml:space="preserve"> </w:t>
      </w:r>
      <w:r w:rsidR="006E72F1" w:rsidRPr="00653060">
        <w:rPr>
          <w:rFonts w:eastAsia="Calibri" w:cs="Arial"/>
        </w:rPr>
        <w:t>Notwithstanding</w:t>
      </w:r>
      <w:r w:rsidR="7432E79D" w:rsidRPr="00653060">
        <w:rPr>
          <w:rFonts w:eastAsia="Calibri" w:cs="Arial"/>
        </w:rPr>
        <w:t xml:space="preserve"> the potential addit</w:t>
      </w:r>
      <w:r w:rsidR="006E72F1" w:rsidRPr="00653060">
        <w:rPr>
          <w:rFonts w:eastAsia="Calibri" w:cs="Arial"/>
        </w:rPr>
        <w:t>i</w:t>
      </w:r>
      <w:r w:rsidR="7432E79D" w:rsidRPr="00653060">
        <w:rPr>
          <w:rFonts w:eastAsia="Calibri" w:cs="Arial"/>
        </w:rPr>
        <w:t xml:space="preserve">onal borrowing </w:t>
      </w:r>
      <w:r w:rsidR="00AC59F6" w:rsidRPr="00653060">
        <w:rPr>
          <w:rFonts w:eastAsia="Calibri" w:cs="Arial"/>
        </w:rPr>
        <w:t>capacity,</w:t>
      </w:r>
      <w:r w:rsidR="7432E79D" w:rsidRPr="00653060">
        <w:rPr>
          <w:rFonts w:eastAsia="Calibri" w:cs="Arial"/>
        </w:rPr>
        <w:t xml:space="preserve"> the current </w:t>
      </w:r>
      <w:r w:rsidR="7432E79D" w:rsidRPr="00211149">
        <w:rPr>
          <w:rFonts w:eastAsia="Calibri" w:cs="Arial"/>
        </w:rPr>
        <w:t>HRA busin</w:t>
      </w:r>
      <w:r w:rsidR="004D0444" w:rsidRPr="00211149">
        <w:rPr>
          <w:rFonts w:eastAsia="Calibri" w:cs="Arial"/>
        </w:rPr>
        <w:t>e</w:t>
      </w:r>
      <w:r w:rsidR="7432E79D" w:rsidRPr="00211149">
        <w:rPr>
          <w:rFonts w:eastAsia="Calibri" w:cs="Arial"/>
        </w:rPr>
        <w:t xml:space="preserve">ss plan </w:t>
      </w:r>
      <w:r w:rsidR="00653060" w:rsidRPr="00211149">
        <w:rPr>
          <w:rFonts w:eastAsia="Calibri" w:cs="Arial"/>
        </w:rPr>
        <w:t xml:space="preserve">already </w:t>
      </w:r>
      <w:r w:rsidR="00467A68" w:rsidRPr="00211149">
        <w:rPr>
          <w:rFonts w:eastAsia="Calibri" w:cs="Arial"/>
        </w:rPr>
        <w:t>includes a total of £48 million</w:t>
      </w:r>
      <w:r w:rsidR="00653060" w:rsidRPr="00211149">
        <w:rPr>
          <w:rFonts w:eastAsia="Calibri" w:cs="Arial"/>
        </w:rPr>
        <w:t xml:space="preserve"> for the 40-year period.</w:t>
      </w:r>
    </w:p>
    <w:p w14:paraId="186D4DD0" w14:textId="143492FF" w:rsidR="7432E79D" w:rsidRPr="00211149" w:rsidRDefault="7432E79D" w:rsidP="009046B9">
      <w:pPr>
        <w:pStyle w:val="ListParagraph"/>
        <w:numPr>
          <w:ilvl w:val="0"/>
          <w:numId w:val="32"/>
        </w:numPr>
        <w:rPr>
          <w:rFonts w:eastAsia="Calibri" w:cs="Arial"/>
        </w:rPr>
      </w:pPr>
      <w:r w:rsidRPr="60EA432F">
        <w:rPr>
          <w:rFonts w:eastAsia="Calibri" w:cs="Arial"/>
          <w:b/>
          <w:bCs/>
        </w:rPr>
        <w:t xml:space="preserve">New dwellings </w:t>
      </w:r>
      <w:r w:rsidRPr="60EA432F">
        <w:rPr>
          <w:rFonts w:eastAsia="Calibri" w:cs="Arial"/>
        </w:rPr>
        <w:t>–the current 10</w:t>
      </w:r>
      <w:r w:rsidR="00211149" w:rsidRPr="60EA432F">
        <w:rPr>
          <w:rFonts w:eastAsia="Calibri" w:cs="Arial"/>
        </w:rPr>
        <w:t>-</w:t>
      </w:r>
      <w:r w:rsidRPr="60EA432F">
        <w:rPr>
          <w:rFonts w:eastAsia="Calibri" w:cs="Arial"/>
        </w:rPr>
        <w:t>year housing investment programme with O</w:t>
      </w:r>
      <w:r w:rsidR="00943810" w:rsidRPr="60EA432F">
        <w:rPr>
          <w:rFonts w:eastAsia="Calibri" w:cs="Arial"/>
        </w:rPr>
        <w:t>X P</w:t>
      </w:r>
      <w:r w:rsidRPr="60EA432F">
        <w:rPr>
          <w:rFonts w:eastAsia="Calibri" w:cs="Arial"/>
        </w:rPr>
        <w:t>lace</w:t>
      </w:r>
      <w:r w:rsidR="00653060" w:rsidRPr="60EA432F">
        <w:rPr>
          <w:rFonts w:eastAsia="Calibri" w:cs="Arial"/>
        </w:rPr>
        <w:t>,</w:t>
      </w:r>
      <w:r w:rsidRPr="60EA432F">
        <w:rPr>
          <w:rFonts w:eastAsia="Calibri" w:cs="Arial"/>
        </w:rPr>
        <w:t xml:space="preserve"> notwiths</w:t>
      </w:r>
      <w:r w:rsidR="00AB7A2C" w:rsidRPr="60EA432F">
        <w:rPr>
          <w:rFonts w:eastAsia="Calibri" w:cs="Arial"/>
        </w:rPr>
        <w:t>t</w:t>
      </w:r>
      <w:r w:rsidRPr="60EA432F">
        <w:rPr>
          <w:rFonts w:eastAsia="Calibri" w:cs="Arial"/>
        </w:rPr>
        <w:t>an</w:t>
      </w:r>
      <w:r w:rsidR="00AB7A2C" w:rsidRPr="60EA432F">
        <w:rPr>
          <w:rFonts w:eastAsia="Calibri" w:cs="Arial"/>
        </w:rPr>
        <w:t>d</w:t>
      </w:r>
      <w:r w:rsidRPr="60EA432F">
        <w:rPr>
          <w:rFonts w:eastAsia="Calibri" w:cs="Arial"/>
        </w:rPr>
        <w:t>ing sl</w:t>
      </w:r>
      <w:r w:rsidR="00AB7A2C" w:rsidRPr="60EA432F">
        <w:rPr>
          <w:rFonts w:eastAsia="Calibri" w:cs="Arial"/>
        </w:rPr>
        <w:t>i</w:t>
      </w:r>
      <w:r w:rsidRPr="60EA432F">
        <w:rPr>
          <w:rFonts w:eastAsia="Calibri" w:cs="Arial"/>
        </w:rPr>
        <w:t>ppage</w:t>
      </w:r>
      <w:r w:rsidR="00653060" w:rsidRPr="60EA432F">
        <w:rPr>
          <w:rFonts w:eastAsia="Calibri" w:cs="Arial"/>
        </w:rPr>
        <w:t>,</w:t>
      </w:r>
      <w:r w:rsidRPr="60EA432F">
        <w:rPr>
          <w:rFonts w:eastAsia="Calibri" w:cs="Arial"/>
        </w:rPr>
        <w:t xml:space="preserve"> wil</w:t>
      </w:r>
      <w:r w:rsidR="00AB7A2C" w:rsidRPr="60EA432F">
        <w:rPr>
          <w:rFonts w:eastAsia="Calibri" w:cs="Arial"/>
        </w:rPr>
        <w:t>l</w:t>
      </w:r>
      <w:r w:rsidRPr="60EA432F">
        <w:rPr>
          <w:rFonts w:eastAsia="Calibri" w:cs="Arial"/>
        </w:rPr>
        <w:t xml:space="preserve"> come to an end in </w:t>
      </w:r>
      <w:r w:rsidR="00EA1F70" w:rsidRPr="60EA432F">
        <w:rPr>
          <w:rFonts w:eastAsia="Calibri" w:cs="Arial"/>
        </w:rPr>
        <w:t>2032</w:t>
      </w:r>
      <w:r w:rsidR="07656521" w:rsidRPr="60EA432F">
        <w:rPr>
          <w:rFonts w:eastAsia="Calibri" w:cs="Arial"/>
        </w:rPr>
        <w:t xml:space="preserve">. There are cost increases </w:t>
      </w:r>
      <w:r w:rsidR="00943810" w:rsidRPr="60EA432F">
        <w:rPr>
          <w:rFonts w:eastAsia="Calibri" w:cs="Arial"/>
        </w:rPr>
        <w:t>i</w:t>
      </w:r>
      <w:r w:rsidR="07656521" w:rsidRPr="60EA432F">
        <w:rPr>
          <w:rFonts w:eastAsia="Calibri" w:cs="Arial"/>
        </w:rPr>
        <w:t xml:space="preserve">n the current programme in the order of £8.5 million which will require mitigating action to resolve </w:t>
      </w:r>
      <w:r w:rsidR="2AB582CB" w:rsidRPr="60EA432F">
        <w:rPr>
          <w:rFonts w:eastAsia="Calibri" w:cs="Arial"/>
        </w:rPr>
        <w:t>including revi</w:t>
      </w:r>
      <w:r w:rsidR="00943810" w:rsidRPr="60EA432F">
        <w:rPr>
          <w:rFonts w:eastAsia="Calibri" w:cs="Arial"/>
        </w:rPr>
        <w:t>ew</w:t>
      </w:r>
      <w:r w:rsidR="2AB582CB" w:rsidRPr="60EA432F">
        <w:rPr>
          <w:rFonts w:eastAsia="Calibri" w:cs="Arial"/>
        </w:rPr>
        <w:t xml:space="preserve">ing the schemes and or the </w:t>
      </w:r>
      <w:r w:rsidR="2AB582CB" w:rsidRPr="60EA432F">
        <w:rPr>
          <w:rFonts w:eastAsia="Calibri" w:cs="Arial"/>
        </w:rPr>
        <w:lastRenderedPageBreak/>
        <w:t>tenure mixes. This additional cost is curren</w:t>
      </w:r>
      <w:r w:rsidR="00CC055A" w:rsidRPr="60EA432F">
        <w:rPr>
          <w:rFonts w:eastAsia="Calibri" w:cs="Arial"/>
        </w:rPr>
        <w:t>t</w:t>
      </w:r>
      <w:r w:rsidR="2AB582CB" w:rsidRPr="60EA432F">
        <w:rPr>
          <w:rFonts w:eastAsia="Calibri" w:cs="Arial"/>
        </w:rPr>
        <w:t>ly not assumed in the Business Plan</w:t>
      </w:r>
      <w:r w:rsidR="77306747" w:rsidRPr="60EA432F">
        <w:rPr>
          <w:rFonts w:eastAsia="Calibri" w:cs="Arial"/>
        </w:rPr>
        <w:t xml:space="preserve">. </w:t>
      </w:r>
      <w:r w:rsidR="2AB582CB" w:rsidRPr="60EA432F">
        <w:rPr>
          <w:rFonts w:eastAsia="Calibri" w:cs="Arial"/>
        </w:rPr>
        <w:t xml:space="preserve">  </w:t>
      </w:r>
      <w:r w:rsidR="07656521" w:rsidRPr="60EA432F">
        <w:rPr>
          <w:rFonts w:eastAsia="Calibri" w:cs="Arial"/>
        </w:rPr>
        <w:t xml:space="preserve"> </w:t>
      </w:r>
    </w:p>
    <w:p w14:paraId="6BF1D08A" w14:textId="7B20E715" w:rsidR="00BD1C7E" w:rsidRPr="00B96FC0" w:rsidRDefault="384ACB15" w:rsidP="60EA432F">
      <w:pPr>
        <w:rPr>
          <w:rFonts w:eastAsia="Calibri" w:cs="Arial"/>
        </w:rPr>
      </w:pPr>
      <w:r w:rsidRPr="60EA432F">
        <w:rPr>
          <w:rFonts w:eastAsia="Calibri" w:cs="Arial"/>
        </w:rPr>
        <w:t xml:space="preserve"> </w:t>
      </w:r>
    </w:p>
    <w:p w14:paraId="36DA2935" w14:textId="77777777" w:rsidR="00565B38" w:rsidRPr="00FC68D6" w:rsidRDefault="000D4B92" w:rsidP="00590C95">
      <w:pPr>
        <w:ind w:left="709" w:hanging="709"/>
        <w:rPr>
          <w:rFonts w:eastAsia="Calibri" w:cs="Arial"/>
          <w:b/>
        </w:rPr>
      </w:pPr>
      <w:r w:rsidRPr="00FC68D6">
        <w:rPr>
          <w:rFonts w:eastAsia="Calibri" w:cs="Arial"/>
          <w:b/>
        </w:rPr>
        <w:t>Key Assumptions in the HRA Business Plan</w:t>
      </w:r>
    </w:p>
    <w:p w14:paraId="6A6BAAFF" w14:textId="77777777" w:rsidR="003362DC" w:rsidRPr="00FC68D6" w:rsidRDefault="003362DC" w:rsidP="00590C95">
      <w:pPr>
        <w:ind w:left="709" w:hanging="709"/>
        <w:rPr>
          <w:rFonts w:eastAsia="Calibri" w:cs="Arial"/>
        </w:rPr>
      </w:pPr>
    </w:p>
    <w:p w14:paraId="775EEFB9" w14:textId="2EAD7BC3" w:rsidR="00A1032D" w:rsidRPr="00CF5DE9" w:rsidRDefault="5AB76D25" w:rsidP="009046B9">
      <w:pPr>
        <w:pStyle w:val="ListParagraph"/>
        <w:numPr>
          <w:ilvl w:val="0"/>
          <w:numId w:val="47"/>
        </w:numPr>
        <w:spacing w:after="160" w:line="259" w:lineRule="auto"/>
        <w:ind w:left="426" w:hanging="426"/>
        <w:contextualSpacing/>
        <w:rPr>
          <w:rFonts w:cs="Arial"/>
        </w:rPr>
      </w:pPr>
      <w:r w:rsidRPr="00FC68D6">
        <w:rPr>
          <w:rFonts w:cs="Arial"/>
          <w:color w:val="242424"/>
          <w:shd w:val="clear" w:color="auto" w:fill="FFFFFF"/>
        </w:rPr>
        <w:t xml:space="preserve">The HRA BP assumes that it will continue to purchase the affordable housing from OCHL’s </w:t>
      </w:r>
      <w:proofErr w:type="gramStart"/>
      <w:r w:rsidRPr="00FC68D6">
        <w:rPr>
          <w:rFonts w:cs="Arial"/>
          <w:color w:val="242424"/>
          <w:shd w:val="clear" w:color="auto" w:fill="FFFFFF"/>
        </w:rPr>
        <w:t>10 year</w:t>
      </w:r>
      <w:proofErr w:type="gramEnd"/>
      <w:r w:rsidRPr="00FC68D6">
        <w:rPr>
          <w:rFonts w:cs="Arial"/>
          <w:color w:val="242424"/>
          <w:shd w:val="clear" w:color="auto" w:fill="FFFFFF"/>
        </w:rPr>
        <w:t xml:space="preserve"> development programme 1,051 properties within a gross overall budget envelope for all years of £452m before grant and shared ownership sales. </w:t>
      </w:r>
      <w:r w:rsidRPr="00CF5DE9">
        <w:rPr>
          <w:rFonts w:cs="Arial"/>
          <w:color w:val="242424"/>
          <w:shd w:val="clear" w:color="auto" w:fill="FFFFFF"/>
        </w:rPr>
        <w:t>The HRA purchases such social dwellings from OCHL based on a set of ‘financial viability indicators agreed with the Councils Section 151 Officer as follows:</w:t>
      </w:r>
    </w:p>
    <w:p w14:paraId="74976726" w14:textId="101F92C8" w:rsidR="007444C0" w:rsidRPr="00CF5DE9" w:rsidRDefault="00A1032D" w:rsidP="00A1032D">
      <w:pPr>
        <w:pStyle w:val="ListParagraph"/>
        <w:spacing w:after="160" w:line="259" w:lineRule="auto"/>
        <w:ind w:left="1069"/>
        <w:contextualSpacing/>
        <w:rPr>
          <w:rFonts w:cs="Arial"/>
        </w:rPr>
      </w:pPr>
      <w:r w:rsidRPr="00CF5DE9">
        <w:rPr>
          <w:rFonts w:cs="Arial"/>
        </w:rPr>
        <w:t xml:space="preserve"> </w:t>
      </w:r>
    </w:p>
    <w:p w14:paraId="6F5D1E47" w14:textId="77777777" w:rsidR="003362DC" w:rsidRPr="00CF5DE9" w:rsidRDefault="003362DC" w:rsidP="009046B9">
      <w:pPr>
        <w:pStyle w:val="ListParagraph"/>
        <w:numPr>
          <w:ilvl w:val="0"/>
          <w:numId w:val="17"/>
        </w:numPr>
        <w:ind w:left="1985" w:hanging="425"/>
        <w:rPr>
          <w:rFonts w:eastAsia="Calibri" w:cs="Arial"/>
        </w:rPr>
      </w:pPr>
      <w:r w:rsidRPr="00CF5DE9">
        <w:rPr>
          <w:rFonts w:eastAsia="Calibri" w:cs="Arial"/>
        </w:rPr>
        <w:t xml:space="preserve">Net present value </w:t>
      </w:r>
      <w:r w:rsidR="003960A7" w:rsidRPr="00CF5DE9">
        <w:rPr>
          <w:rFonts w:eastAsia="Calibri" w:cs="Arial"/>
        </w:rPr>
        <w:t>(NPV)</w:t>
      </w:r>
      <w:r w:rsidRPr="00CF5DE9">
        <w:rPr>
          <w:rFonts w:eastAsia="Calibri" w:cs="Arial"/>
        </w:rPr>
        <w:t xml:space="preserve">– positive over a </w:t>
      </w:r>
      <w:proofErr w:type="gramStart"/>
      <w:r w:rsidR="004673C0" w:rsidRPr="00CF5DE9">
        <w:rPr>
          <w:rFonts w:eastAsia="Calibri" w:cs="Arial"/>
        </w:rPr>
        <w:t>7</w:t>
      </w:r>
      <w:r w:rsidRPr="00CF5DE9">
        <w:rPr>
          <w:rFonts w:eastAsia="Calibri" w:cs="Arial"/>
        </w:rPr>
        <w:t>0 year</w:t>
      </w:r>
      <w:proofErr w:type="gramEnd"/>
      <w:r w:rsidRPr="00CF5DE9">
        <w:rPr>
          <w:rFonts w:eastAsia="Calibri" w:cs="Arial"/>
        </w:rPr>
        <w:t xml:space="preserve"> period</w:t>
      </w:r>
    </w:p>
    <w:p w14:paraId="625F8533" w14:textId="77777777" w:rsidR="003362DC" w:rsidRPr="00CF5DE9" w:rsidRDefault="003362DC" w:rsidP="009046B9">
      <w:pPr>
        <w:pStyle w:val="ListParagraph"/>
        <w:numPr>
          <w:ilvl w:val="0"/>
          <w:numId w:val="17"/>
        </w:numPr>
        <w:ind w:left="1985" w:hanging="425"/>
        <w:rPr>
          <w:rFonts w:eastAsia="Calibri" w:cs="Arial"/>
        </w:rPr>
      </w:pPr>
      <w:r w:rsidRPr="00CF5DE9">
        <w:rPr>
          <w:rFonts w:eastAsia="Calibri" w:cs="Arial"/>
        </w:rPr>
        <w:t xml:space="preserve">Payback </w:t>
      </w:r>
      <w:r w:rsidR="004673C0" w:rsidRPr="00CF5DE9">
        <w:rPr>
          <w:rFonts w:eastAsia="Calibri" w:cs="Arial"/>
        </w:rPr>
        <w:t>–</w:t>
      </w:r>
      <w:r w:rsidRPr="00CF5DE9">
        <w:rPr>
          <w:rFonts w:eastAsia="Calibri" w:cs="Arial"/>
        </w:rPr>
        <w:t xml:space="preserve"> </w:t>
      </w:r>
      <w:r w:rsidR="004673C0" w:rsidRPr="00CF5DE9">
        <w:rPr>
          <w:rFonts w:eastAsia="Calibri" w:cs="Arial"/>
        </w:rPr>
        <w:t>70 years or under</w:t>
      </w:r>
    </w:p>
    <w:p w14:paraId="0585D5AA" w14:textId="77777777" w:rsidR="003362DC" w:rsidRPr="00206EF9" w:rsidRDefault="003362DC" w:rsidP="009046B9">
      <w:pPr>
        <w:pStyle w:val="ListParagraph"/>
        <w:numPr>
          <w:ilvl w:val="0"/>
          <w:numId w:val="17"/>
        </w:numPr>
        <w:ind w:left="1985" w:hanging="425"/>
        <w:rPr>
          <w:rFonts w:eastAsia="Calibri" w:cs="Arial"/>
        </w:rPr>
      </w:pPr>
      <w:r w:rsidRPr="00CF5DE9">
        <w:rPr>
          <w:rFonts w:eastAsia="Calibri" w:cs="Arial"/>
        </w:rPr>
        <w:t xml:space="preserve">Internal rate of return </w:t>
      </w:r>
      <w:r w:rsidR="003960A7" w:rsidRPr="00CF5DE9">
        <w:rPr>
          <w:rFonts w:eastAsia="Calibri" w:cs="Arial"/>
        </w:rPr>
        <w:t>IRR -</w:t>
      </w:r>
      <w:r w:rsidRPr="00CF5DE9">
        <w:rPr>
          <w:rFonts w:eastAsia="Calibri" w:cs="Arial"/>
        </w:rPr>
        <w:t>(the discount rate which equates the N</w:t>
      </w:r>
      <w:r w:rsidR="00D31F40" w:rsidRPr="00CF5DE9">
        <w:rPr>
          <w:rFonts w:eastAsia="Calibri" w:cs="Arial"/>
        </w:rPr>
        <w:t xml:space="preserve">et </w:t>
      </w:r>
      <w:r w:rsidRPr="00206EF9">
        <w:rPr>
          <w:rFonts w:eastAsia="Calibri" w:cs="Arial"/>
        </w:rPr>
        <w:t>P</w:t>
      </w:r>
      <w:r w:rsidR="00D31F40" w:rsidRPr="00206EF9">
        <w:rPr>
          <w:rFonts w:eastAsia="Calibri" w:cs="Arial"/>
        </w:rPr>
        <w:t xml:space="preserve">resent </w:t>
      </w:r>
      <w:r w:rsidRPr="00206EF9">
        <w:rPr>
          <w:rFonts w:eastAsia="Calibri" w:cs="Arial"/>
        </w:rPr>
        <w:t>V</w:t>
      </w:r>
      <w:r w:rsidR="00D31F40" w:rsidRPr="00206EF9">
        <w:rPr>
          <w:rFonts w:eastAsia="Calibri" w:cs="Arial"/>
        </w:rPr>
        <w:t>alue</w:t>
      </w:r>
      <w:r w:rsidRPr="00206EF9">
        <w:rPr>
          <w:rFonts w:eastAsia="Calibri" w:cs="Arial"/>
        </w:rPr>
        <w:t xml:space="preserve"> to zero) of </w:t>
      </w:r>
      <w:proofErr w:type="gramStart"/>
      <w:r w:rsidRPr="00206EF9">
        <w:rPr>
          <w:rFonts w:eastAsia="Calibri" w:cs="Arial"/>
        </w:rPr>
        <w:t>3%</w:t>
      </w:r>
      <w:proofErr w:type="gramEnd"/>
    </w:p>
    <w:p w14:paraId="7A628FF4" w14:textId="77777777" w:rsidR="003362DC" w:rsidRPr="00206EF9" w:rsidRDefault="003362DC" w:rsidP="009B6A85">
      <w:pPr>
        <w:rPr>
          <w:rFonts w:eastAsia="Calibri" w:cs="Arial"/>
        </w:rPr>
      </w:pPr>
    </w:p>
    <w:p w14:paraId="3239827F" w14:textId="7C62F3B2" w:rsidR="005D36C9" w:rsidRPr="00104315" w:rsidRDefault="47E64506" w:rsidP="009046B9">
      <w:pPr>
        <w:pStyle w:val="ListParagraph"/>
        <w:numPr>
          <w:ilvl w:val="0"/>
          <w:numId w:val="48"/>
        </w:numPr>
        <w:ind w:left="426" w:hanging="426"/>
        <w:rPr>
          <w:rFonts w:eastAsia="Calibri" w:cs="Arial"/>
        </w:rPr>
      </w:pPr>
      <w:r w:rsidRPr="6F9FB908">
        <w:rPr>
          <w:rFonts w:eastAsia="Calibri" w:cs="Arial"/>
        </w:rPr>
        <w:t>Th</w:t>
      </w:r>
      <w:r w:rsidR="4DD5813F" w:rsidRPr="6F9FB908">
        <w:rPr>
          <w:rFonts w:eastAsia="Calibri" w:cs="Arial"/>
        </w:rPr>
        <w:t xml:space="preserve">ese criteria are comparable to the Housing Company of </w:t>
      </w:r>
      <w:r w:rsidR="41C42EE1" w:rsidRPr="6F9FB908">
        <w:rPr>
          <w:rFonts w:eastAsia="Calibri" w:cs="Arial"/>
        </w:rPr>
        <w:t xml:space="preserve">a </w:t>
      </w:r>
      <w:r w:rsidR="4DD5813F" w:rsidRPr="6F9FB908">
        <w:rPr>
          <w:rFonts w:eastAsia="Calibri" w:cs="Arial"/>
        </w:rPr>
        <w:t>positive</w:t>
      </w:r>
      <w:r w:rsidR="41C42EE1" w:rsidRPr="6F9FB908">
        <w:rPr>
          <w:rFonts w:eastAsia="Calibri" w:cs="Arial"/>
        </w:rPr>
        <w:t xml:space="preserve"> NPV over 40 years</w:t>
      </w:r>
      <w:r w:rsidR="4DD5813F" w:rsidRPr="6F9FB908">
        <w:rPr>
          <w:rFonts w:eastAsia="Calibri" w:cs="Arial"/>
        </w:rPr>
        <w:t>, 40</w:t>
      </w:r>
      <w:r w:rsidR="215B0A47" w:rsidRPr="6F9FB908">
        <w:rPr>
          <w:rFonts w:eastAsia="Calibri" w:cs="Arial"/>
        </w:rPr>
        <w:t>-</w:t>
      </w:r>
      <w:r w:rsidR="4DD5813F" w:rsidRPr="6F9FB908">
        <w:rPr>
          <w:rFonts w:eastAsia="Calibri" w:cs="Arial"/>
        </w:rPr>
        <w:t>year</w:t>
      </w:r>
      <w:r w:rsidR="41C42EE1" w:rsidRPr="6F9FB908">
        <w:rPr>
          <w:rFonts w:eastAsia="Calibri" w:cs="Arial"/>
        </w:rPr>
        <w:t xml:space="preserve"> payback</w:t>
      </w:r>
      <w:r w:rsidR="4DD5813F" w:rsidRPr="6F9FB908">
        <w:rPr>
          <w:rFonts w:eastAsia="Calibri" w:cs="Arial"/>
        </w:rPr>
        <w:t xml:space="preserve"> and 4%</w:t>
      </w:r>
      <w:r w:rsidR="41C42EE1" w:rsidRPr="6F9FB908">
        <w:rPr>
          <w:rFonts w:eastAsia="Calibri" w:cs="Arial"/>
        </w:rPr>
        <w:t xml:space="preserve"> IRR</w:t>
      </w:r>
      <w:r w:rsidR="4DD5813F" w:rsidRPr="6F9FB908">
        <w:rPr>
          <w:rFonts w:eastAsia="Calibri" w:cs="Arial"/>
        </w:rPr>
        <w:t xml:space="preserve">. The HRA criteria are less favourable to reflect the nature of the social dwellings being purchased. </w:t>
      </w:r>
      <w:r w:rsidRPr="6F9FB908">
        <w:rPr>
          <w:rFonts w:eastAsia="Calibri" w:cs="Arial"/>
        </w:rPr>
        <w:t xml:space="preserve"> </w:t>
      </w:r>
    </w:p>
    <w:p w14:paraId="6350098B" w14:textId="77777777" w:rsidR="0091324C" w:rsidRPr="000B53FF" w:rsidRDefault="0091324C" w:rsidP="00F15D28">
      <w:pPr>
        <w:pStyle w:val="ListParagraph"/>
        <w:ind w:left="709" w:hanging="709"/>
        <w:rPr>
          <w:rFonts w:eastAsia="Calibri" w:cs="Arial"/>
        </w:rPr>
      </w:pPr>
    </w:p>
    <w:p w14:paraId="2ACD185E" w14:textId="77777777" w:rsidR="00B00CF9" w:rsidRPr="000B53FF" w:rsidRDefault="31DA7BA0" w:rsidP="00F42D9C">
      <w:pPr>
        <w:pStyle w:val="ListParagraph"/>
        <w:numPr>
          <w:ilvl w:val="0"/>
          <w:numId w:val="1"/>
        </w:numPr>
        <w:ind w:left="426" w:hanging="426"/>
        <w:rPr>
          <w:rFonts w:eastAsia="Calibri" w:cs="Arial"/>
        </w:rPr>
      </w:pPr>
      <w:r w:rsidRPr="6F9FB908">
        <w:rPr>
          <w:rFonts w:eastAsia="Calibri" w:cs="Arial"/>
        </w:rPr>
        <w:t xml:space="preserve">The debt profile of the HRA </w:t>
      </w:r>
      <w:r w:rsidR="095696F6" w:rsidRPr="6F9FB908">
        <w:rPr>
          <w:rFonts w:eastAsia="Calibri" w:cs="Arial"/>
        </w:rPr>
        <w:t xml:space="preserve">together with the resulting HRA working balance over the next </w:t>
      </w:r>
      <w:r w:rsidR="512ADD19" w:rsidRPr="6F9FB908">
        <w:rPr>
          <w:rFonts w:eastAsia="Calibri" w:cs="Arial"/>
        </w:rPr>
        <w:t xml:space="preserve">few </w:t>
      </w:r>
      <w:r w:rsidR="1F2437CE" w:rsidRPr="6F9FB908">
        <w:rPr>
          <w:rFonts w:eastAsia="Calibri" w:cs="Arial"/>
        </w:rPr>
        <w:t>years</w:t>
      </w:r>
      <w:r w:rsidR="512ADD19" w:rsidRPr="6F9FB908">
        <w:rPr>
          <w:rFonts w:eastAsia="Calibri" w:cs="Arial"/>
        </w:rPr>
        <w:t xml:space="preserve"> </w:t>
      </w:r>
      <w:r w:rsidR="095696F6" w:rsidRPr="6F9FB908">
        <w:rPr>
          <w:rFonts w:eastAsia="Calibri" w:cs="Arial"/>
        </w:rPr>
        <w:t>is shown as follows:</w:t>
      </w:r>
    </w:p>
    <w:p w14:paraId="52067E95" w14:textId="77777777" w:rsidR="002F2181" w:rsidRPr="00B96FC0" w:rsidRDefault="002F2181" w:rsidP="002F2181">
      <w:pPr>
        <w:pStyle w:val="ListParagraph"/>
        <w:ind w:left="709"/>
        <w:rPr>
          <w:rFonts w:eastAsia="Calibri" w:cs="Arial"/>
          <w:highlight w:val="yellow"/>
        </w:rPr>
      </w:pPr>
    </w:p>
    <w:p w14:paraId="1D3C94CD" w14:textId="7CD3B084" w:rsidR="12B5E433" w:rsidRPr="00B96FC0" w:rsidRDefault="12B5E433" w:rsidP="12B5E433">
      <w:pPr>
        <w:rPr>
          <w:highlight w:val="yellow"/>
        </w:rPr>
      </w:pPr>
    </w:p>
    <w:tbl>
      <w:tblPr>
        <w:tblStyle w:val="TableGrid"/>
        <w:tblW w:w="0" w:type="auto"/>
        <w:tblInd w:w="704" w:type="dxa"/>
        <w:tblLook w:val="04A0" w:firstRow="1" w:lastRow="0" w:firstColumn="1" w:lastColumn="0" w:noHBand="0" w:noVBand="1"/>
      </w:tblPr>
      <w:tblGrid>
        <w:gridCol w:w="3339"/>
        <w:gridCol w:w="2784"/>
        <w:gridCol w:w="2648"/>
      </w:tblGrid>
      <w:tr w:rsidR="00092035" w:rsidRPr="00B96FC0" w14:paraId="12334D36" w14:textId="77777777" w:rsidTr="60EA432F">
        <w:tc>
          <w:tcPr>
            <w:tcW w:w="8789" w:type="dxa"/>
            <w:gridSpan w:val="3"/>
            <w:shd w:val="clear" w:color="auto" w:fill="A6A6A6" w:themeFill="background1" w:themeFillShade="A6"/>
          </w:tcPr>
          <w:p w14:paraId="5F105FAD" w14:textId="219F3254" w:rsidR="00092035" w:rsidRPr="000B53FF" w:rsidRDefault="1278DF05" w:rsidP="60EA432F">
            <w:pPr>
              <w:pStyle w:val="ListParagraph"/>
              <w:ind w:left="630" w:hanging="630"/>
              <w:rPr>
                <w:rFonts w:eastAsia="Calibri" w:cs="Arial"/>
                <w:b/>
                <w:bCs/>
              </w:rPr>
            </w:pPr>
            <w:r w:rsidRPr="60EA432F">
              <w:rPr>
                <w:rFonts w:eastAsia="Calibri" w:cs="Arial"/>
                <w:b/>
                <w:bCs/>
              </w:rPr>
              <w:t xml:space="preserve">Table </w:t>
            </w:r>
            <w:proofErr w:type="gramStart"/>
            <w:r w:rsidR="6FAC2AB9" w:rsidRPr="60EA432F">
              <w:rPr>
                <w:rFonts w:eastAsia="Calibri" w:cs="Arial"/>
                <w:b/>
                <w:bCs/>
              </w:rPr>
              <w:t>8</w:t>
            </w:r>
            <w:r w:rsidR="5C2BA450" w:rsidRPr="60EA432F">
              <w:rPr>
                <w:rFonts w:eastAsia="Calibri" w:cs="Arial"/>
                <w:b/>
                <w:bCs/>
              </w:rPr>
              <w:t xml:space="preserve"> :</w:t>
            </w:r>
            <w:proofErr w:type="gramEnd"/>
            <w:r w:rsidR="4882EB39" w:rsidRPr="60EA432F">
              <w:rPr>
                <w:rFonts w:eastAsia="Calibri" w:cs="Arial"/>
                <w:b/>
                <w:bCs/>
              </w:rPr>
              <w:t xml:space="preserve"> HRA Outstanding loans and Working Balances</w:t>
            </w:r>
          </w:p>
        </w:tc>
      </w:tr>
      <w:tr w:rsidR="00092035" w:rsidRPr="00B96FC0" w14:paraId="6460D1BA" w14:textId="77777777" w:rsidTr="60EA432F">
        <w:tc>
          <w:tcPr>
            <w:tcW w:w="3347" w:type="dxa"/>
            <w:shd w:val="clear" w:color="auto" w:fill="A6A6A6" w:themeFill="background1" w:themeFillShade="A6"/>
          </w:tcPr>
          <w:p w14:paraId="5525D088" w14:textId="77777777" w:rsidR="00092035" w:rsidRPr="000B53FF" w:rsidRDefault="00092035" w:rsidP="007C287E">
            <w:pPr>
              <w:pStyle w:val="ListParagraph"/>
              <w:ind w:left="630" w:hanging="630"/>
              <w:rPr>
                <w:rFonts w:eastAsia="Calibri" w:cs="Arial"/>
                <w:b/>
              </w:rPr>
            </w:pPr>
          </w:p>
        </w:tc>
        <w:tc>
          <w:tcPr>
            <w:tcW w:w="2788" w:type="dxa"/>
            <w:shd w:val="clear" w:color="auto" w:fill="A6A6A6" w:themeFill="background1" w:themeFillShade="A6"/>
          </w:tcPr>
          <w:p w14:paraId="26BDC8ED" w14:textId="77777777" w:rsidR="00092035" w:rsidRPr="000B53FF" w:rsidRDefault="00092035" w:rsidP="007C287E">
            <w:pPr>
              <w:pStyle w:val="ListParagraph"/>
              <w:ind w:left="630" w:hanging="630"/>
              <w:rPr>
                <w:rFonts w:eastAsia="Calibri" w:cs="Arial"/>
                <w:b/>
              </w:rPr>
            </w:pPr>
            <w:r w:rsidRPr="000B53FF">
              <w:rPr>
                <w:rFonts w:eastAsia="Calibri" w:cs="Arial"/>
                <w:b/>
              </w:rPr>
              <w:t>Closing Loan Balance</w:t>
            </w:r>
          </w:p>
        </w:tc>
        <w:tc>
          <w:tcPr>
            <w:tcW w:w="2654" w:type="dxa"/>
            <w:shd w:val="clear" w:color="auto" w:fill="A6A6A6" w:themeFill="background1" w:themeFillShade="A6"/>
          </w:tcPr>
          <w:p w14:paraId="59D1E591" w14:textId="77777777" w:rsidR="00092035" w:rsidRPr="000B53FF" w:rsidRDefault="00092035" w:rsidP="007C287E">
            <w:pPr>
              <w:pStyle w:val="ListParagraph"/>
              <w:ind w:left="0"/>
              <w:jc w:val="center"/>
              <w:rPr>
                <w:rFonts w:eastAsia="Calibri" w:cs="Arial"/>
                <w:b/>
              </w:rPr>
            </w:pPr>
            <w:r w:rsidRPr="000B53FF">
              <w:rPr>
                <w:rFonts w:eastAsia="Calibri" w:cs="Arial"/>
                <w:b/>
              </w:rPr>
              <w:t>Working Balance</w:t>
            </w:r>
          </w:p>
        </w:tc>
      </w:tr>
      <w:tr w:rsidR="00092035" w:rsidRPr="00B96FC0" w14:paraId="0DB6CC9D" w14:textId="77777777" w:rsidTr="60EA432F">
        <w:tc>
          <w:tcPr>
            <w:tcW w:w="3347" w:type="dxa"/>
            <w:shd w:val="clear" w:color="auto" w:fill="A6A6A6" w:themeFill="background1" w:themeFillShade="A6"/>
          </w:tcPr>
          <w:p w14:paraId="715AB58B" w14:textId="77777777" w:rsidR="00092035" w:rsidRPr="000B53FF" w:rsidRDefault="00092035" w:rsidP="007C287E">
            <w:pPr>
              <w:pStyle w:val="ListParagraph"/>
              <w:ind w:left="630" w:hanging="630"/>
              <w:rPr>
                <w:rFonts w:eastAsia="Calibri" w:cs="Arial"/>
                <w:b/>
              </w:rPr>
            </w:pPr>
          </w:p>
        </w:tc>
        <w:tc>
          <w:tcPr>
            <w:tcW w:w="2788" w:type="dxa"/>
            <w:shd w:val="clear" w:color="auto" w:fill="A6A6A6" w:themeFill="background1" w:themeFillShade="A6"/>
          </w:tcPr>
          <w:p w14:paraId="3FF381B1" w14:textId="77777777" w:rsidR="00092035" w:rsidRPr="000B53FF" w:rsidRDefault="00092035" w:rsidP="007C287E">
            <w:pPr>
              <w:pStyle w:val="ListParagraph"/>
              <w:ind w:left="630" w:hanging="630"/>
              <w:jc w:val="center"/>
              <w:rPr>
                <w:rFonts w:eastAsia="Calibri" w:cs="Arial"/>
                <w:b/>
              </w:rPr>
            </w:pPr>
            <w:r w:rsidRPr="000B53FF">
              <w:rPr>
                <w:rFonts w:eastAsia="Calibri" w:cs="Arial"/>
                <w:b/>
              </w:rPr>
              <w:t>£000’s</w:t>
            </w:r>
          </w:p>
        </w:tc>
        <w:tc>
          <w:tcPr>
            <w:tcW w:w="2654" w:type="dxa"/>
            <w:shd w:val="clear" w:color="auto" w:fill="A6A6A6" w:themeFill="background1" w:themeFillShade="A6"/>
          </w:tcPr>
          <w:p w14:paraId="7BC3483A" w14:textId="77777777" w:rsidR="00092035" w:rsidRPr="000B53FF" w:rsidRDefault="00092035" w:rsidP="007C287E">
            <w:pPr>
              <w:pStyle w:val="ListParagraph"/>
              <w:ind w:left="630" w:hanging="630"/>
              <w:jc w:val="center"/>
              <w:rPr>
                <w:rFonts w:eastAsia="Calibri" w:cs="Arial"/>
                <w:b/>
              </w:rPr>
            </w:pPr>
            <w:r w:rsidRPr="000B53FF">
              <w:rPr>
                <w:rFonts w:eastAsia="Calibri" w:cs="Arial"/>
                <w:b/>
              </w:rPr>
              <w:t>£000’s</w:t>
            </w:r>
          </w:p>
        </w:tc>
      </w:tr>
      <w:tr w:rsidR="005243A5" w:rsidRPr="00CE1990" w14:paraId="45603A3E" w14:textId="77777777" w:rsidTr="60EA432F">
        <w:tc>
          <w:tcPr>
            <w:tcW w:w="3347" w:type="dxa"/>
          </w:tcPr>
          <w:p w14:paraId="4FC5F20A" w14:textId="11FE5194" w:rsidR="005243A5" w:rsidRPr="00CE1990" w:rsidRDefault="005243A5" w:rsidP="005243A5">
            <w:pPr>
              <w:pStyle w:val="ListParagraph"/>
              <w:ind w:left="630" w:hanging="630"/>
              <w:rPr>
                <w:rFonts w:eastAsia="Calibri" w:cs="Arial"/>
              </w:rPr>
            </w:pPr>
            <w:r w:rsidRPr="00CE1990">
              <w:rPr>
                <w:rFonts w:eastAsia="Calibri" w:cs="Arial"/>
              </w:rPr>
              <w:t>202</w:t>
            </w:r>
            <w:r w:rsidR="00F742A9" w:rsidRPr="00CE1990">
              <w:rPr>
                <w:rFonts w:eastAsia="Calibri" w:cs="Arial"/>
              </w:rPr>
              <w:t>5</w:t>
            </w:r>
            <w:r w:rsidR="00D9443E" w:rsidRPr="00CE1990">
              <w:rPr>
                <w:rFonts w:eastAsia="Calibri" w:cs="Arial"/>
              </w:rPr>
              <w:t>/</w:t>
            </w:r>
            <w:r w:rsidRPr="00CE1990">
              <w:rPr>
                <w:rFonts w:eastAsia="Calibri" w:cs="Arial"/>
              </w:rPr>
              <w:t>2</w:t>
            </w:r>
            <w:r w:rsidR="00F742A9" w:rsidRPr="00CE1990">
              <w:rPr>
                <w:rFonts w:eastAsia="Calibri" w:cs="Arial"/>
              </w:rPr>
              <w:t>6</w:t>
            </w:r>
          </w:p>
        </w:tc>
        <w:tc>
          <w:tcPr>
            <w:tcW w:w="2788" w:type="dxa"/>
            <w:tcBorders>
              <w:top w:val="single" w:sz="4" w:space="0" w:color="auto"/>
              <w:left w:val="single" w:sz="4" w:space="0" w:color="auto"/>
              <w:bottom w:val="single" w:sz="4" w:space="0" w:color="auto"/>
              <w:right w:val="nil"/>
            </w:tcBorders>
            <w:shd w:val="clear" w:color="auto" w:fill="auto"/>
            <w:vAlign w:val="bottom"/>
          </w:tcPr>
          <w:p w14:paraId="77E3384E" w14:textId="4FE2F6C5" w:rsidR="005243A5" w:rsidRPr="00CE1990" w:rsidRDefault="00B150BA" w:rsidP="005243A5">
            <w:pPr>
              <w:pStyle w:val="ListParagraph"/>
              <w:ind w:left="0"/>
              <w:jc w:val="right"/>
              <w:rPr>
                <w:rFonts w:eastAsia="Calibri" w:cs="Arial"/>
              </w:rPr>
            </w:pPr>
            <w:r w:rsidRPr="00CE1990">
              <w:rPr>
                <w:rFonts w:cs="Arial"/>
                <w:bCs/>
                <w:color w:val="000000"/>
                <w:sz w:val="22"/>
                <w:szCs w:val="22"/>
              </w:rPr>
              <w:t>466,130</w:t>
            </w:r>
            <w:r w:rsidR="005243A5" w:rsidRPr="00CE1990">
              <w:rPr>
                <w:rFonts w:cs="Arial"/>
                <w:bCs/>
                <w:color w:val="000000"/>
                <w:sz w:val="22"/>
                <w:szCs w:val="22"/>
              </w:rPr>
              <w:t xml:space="preserve"> </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bottom"/>
          </w:tcPr>
          <w:p w14:paraId="62F3FDE6" w14:textId="1D5368E9" w:rsidR="005243A5" w:rsidRPr="00CE1990" w:rsidRDefault="008477A0" w:rsidP="005243A5">
            <w:pPr>
              <w:pStyle w:val="ListParagraph"/>
              <w:ind w:left="0"/>
              <w:jc w:val="right"/>
              <w:rPr>
                <w:rFonts w:eastAsia="Calibri" w:cs="Arial"/>
              </w:rPr>
            </w:pPr>
            <w:r w:rsidRPr="00CE1990">
              <w:rPr>
                <w:rFonts w:cs="Arial"/>
                <w:bCs/>
                <w:color w:val="000000"/>
                <w:sz w:val="22"/>
                <w:szCs w:val="22"/>
              </w:rPr>
              <w:t>5,949</w:t>
            </w:r>
            <w:r w:rsidR="005243A5" w:rsidRPr="00CE1990">
              <w:rPr>
                <w:rFonts w:cs="Arial"/>
                <w:bCs/>
                <w:color w:val="000000"/>
                <w:sz w:val="22"/>
                <w:szCs w:val="22"/>
              </w:rPr>
              <w:t xml:space="preserve"> </w:t>
            </w:r>
          </w:p>
        </w:tc>
      </w:tr>
      <w:tr w:rsidR="005243A5" w:rsidRPr="00CE1990" w14:paraId="6540EF6A" w14:textId="77777777" w:rsidTr="60EA432F">
        <w:tc>
          <w:tcPr>
            <w:tcW w:w="3347" w:type="dxa"/>
          </w:tcPr>
          <w:p w14:paraId="17A746A0" w14:textId="019B830A" w:rsidR="005243A5" w:rsidRPr="00CE1990" w:rsidRDefault="005243A5" w:rsidP="005243A5">
            <w:pPr>
              <w:pStyle w:val="ListParagraph"/>
              <w:ind w:left="630" w:hanging="630"/>
              <w:rPr>
                <w:rFonts w:eastAsia="Calibri" w:cs="Arial"/>
              </w:rPr>
            </w:pPr>
            <w:r w:rsidRPr="00CE1990">
              <w:rPr>
                <w:rFonts w:eastAsia="Calibri" w:cs="Arial"/>
              </w:rPr>
              <w:t>2026</w:t>
            </w:r>
            <w:r w:rsidR="00D9443E" w:rsidRPr="00CE1990">
              <w:rPr>
                <w:rFonts w:eastAsia="Calibri" w:cs="Arial"/>
              </w:rPr>
              <w:t>/</w:t>
            </w:r>
            <w:r w:rsidRPr="00CE1990">
              <w:rPr>
                <w:rFonts w:eastAsia="Calibri" w:cs="Arial"/>
              </w:rPr>
              <w:t>27</w:t>
            </w:r>
          </w:p>
        </w:tc>
        <w:tc>
          <w:tcPr>
            <w:tcW w:w="2788" w:type="dxa"/>
            <w:tcBorders>
              <w:top w:val="single" w:sz="4" w:space="0" w:color="auto"/>
              <w:left w:val="single" w:sz="4" w:space="0" w:color="auto"/>
              <w:bottom w:val="single" w:sz="4" w:space="0" w:color="auto"/>
              <w:right w:val="nil"/>
            </w:tcBorders>
            <w:shd w:val="clear" w:color="auto" w:fill="auto"/>
            <w:vAlign w:val="bottom"/>
          </w:tcPr>
          <w:p w14:paraId="074D2366" w14:textId="2B4935E1" w:rsidR="005243A5" w:rsidRPr="00CE1990" w:rsidRDefault="00B150BA" w:rsidP="005243A5">
            <w:pPr>
              <w:pStyle w:val="ListParagraph"/>
              <w:ind w:left="0"/>
              <w:jc w:val="right"/>
              <w:rPr>
                <w:rFonts w:eastAsia="Calibri" w:cs="Arial"/>
              </w:rPr>
            </w:pPr>
            <w:r w:rsidRPr="00CE1990">
              <w:rPr>
                <w:rFonts w:cs="Arial"/>
                <w:bCs/>
                <w:color w:val="000000"/>
                <w:sz w:val="22"/>
                <w:szCs w:val="22"/>
              </w:rPr>
              <w:t>536,130</w:t>
            </w:r>
            <w:r w:rsidR="005243A5" w:rsidRPr="00CE1990">
              <w:rPr>
                <w:rFonts w:cs="Arial"/>
                <w:bCs/>
                <w:color w:val="000000"/>
                <w:sz w:val="22"/>
                <w:szCs w:val="22"/>
              </w:rPr>
              <w:t xml:space="preserve"> </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bottom"/>
          </w:tcPr>
          <w:p w14:paraId="3553A72B" w14:textId="10C55D8A" w:rsidR="005243A5" w:rsidRPr="00CE1990" w:rsidRDefault="00046AF4" w:rsidP="005243A5">
            <w:pPr>
              <w:pStyle w:val="ListParagraph"/>
              <w:ind w:left="0"/>
              <w:jc w:val="right"/>
              <w:rPr>
                <w:rFonts w:eastAsia="Calibri" w:cs="Arial"/>
              </w:rPr>
            </w:pPr>
            <w:r w:rsidRPr="00CE1990">
              <w:rPr>
                <w:rFonts w:cs="Arial"/>
                <w:bCs/>
                <w:color w:val="000000"/>
                <w:sz w:val="22"/>
                <w:szCs w:val="22"/>
              </w:rPr>
              <w:t>5,497</w:t>
            </w:r>
            <w:r w:rsidR="005243A5" w:rsidRPr="00CE1990">
              <w:rPr>
                <w:rFonts w:cs="Arial"/>
                <w:bCs/>
                <w:color w:val="000000"/>
                <w:sz w:val="22"/>
                <w:szCs w:val="22"/>
              </w:rPr>
              <w:t xml:space="preserve"> </w:t>
            </w:r>
          </w:p>
        </w:tc>
      </w:tr>
      <w:tr w:rsidR="005243A5" w:rsidRPr="00CE1990" w14:paraId="1837EA80" w14:textId="77777777" w:rsidTr="60EA432F">
        <w:tc>
          <w:tcPr>
            <w:tcW w:w="3347" w:type="dxa"/>
          </w:tcPr>
          <w:p w14:paraId="072DAAB3" w14:textId="77777777" w:rsidR="005243A5" w:rsidRPr="00CE1990" w:rsidRDefault="005243A5" w:rsidP="005243A5">
            <w:pPr>
              <w:pStyle w:val="ListParagraph"/>
              <w:ind w:left="630" w:hanging="630"/>
              <w:rPr>
                <w:rFonts w:eastAsia="Calibri" w:cs="Arial"/>
              </w:rPr>
            </w:pPr>
            <w:r w:rsidRPr="00CE1990">
              <w:rPr>
                <w:rFonts w:eastAsia="Calibri" w:cs="Arial"/>
              </w:rPr>
              <w:t>2027/28</w:t>
            </w:r>
          </w:p>
        </w:tc>
        <w:tc>
          <w:tcPr>
            <w:tcW w:w="2788" w:type="dxa"/>
            <w:tcBorders>
              <w:top w:val="single" w:sz="4" w:space="0" w:color="auto"/>
              <w:left w:val="single" w:sz="4" w:space="0" w:color="auto"/>
              <w:bottom w:val="single" w:sz="4" w:space="0" w:color="auto"/>
              <w:right w:val="nil"/>
            </w:tcBorders>
            <w:shd w:val="clear" w:color="auto" w:fill="auto"/>
            <w:vAlign w:val="bottom"/>
          </w:tcPr>
          <w:p w14:paraId="7DFA4BCC" w14:textId="7E7F5C38" w:rsidR="005243A5" w:rsidRPr="00CE1990" w:rsidRDefault="000B53FF" w:rsidP="005243A5">
            <w:pPr>
              <w:pStyle w:val="ListParagraph"/>
              <w:ind w:left="0"/>
              <w:jc w:val="right"/>
              <w:rPr>
                <w:rFonts w:eastAsia="Calibri" w:cs="Arial"/>
              </w:rPr>
            </w:pPr>
            <w:r w:rsidRPr="00CE1990">
              <w:rPr>
                <w:rFonts w:cs="Arial"/>
                <w:bCs/>
                <w:color w:val="000000"/>
                <w:sz w:val="22"/>
                <w:szCs w:val="22"/>
              </w:rPr>
              <w:t>597,130</w:t>
            </w:r>
            <w:r w:rsidR="005243A5" w:rsidRPr="00CE1990">
              <w:rPr>
                <w:rFonts w:cs="Arial"/>
                <w:bCs/>
                <w:color w:val="000000"/>
                <w:sz w:val="22"/>
                <w:szCs w:val="22"/>
              </w:rPr>
              <w:t xml:space="preserve"> </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bottom"/>
          </w:tcPr>
          <w:p w14:paraId="063AC8D9" w14:textId="3C281095" w:rsidR="005243A5" w:rsidRPr="00CE1990" w:rsidRDefault="005243A5" w:rsidP="005243A5">
            <w:pPr>
              <w:pStyle w:val="ListParagraph"/>
              <w:ind w:left="0"/>
              <w:jc w:val="right"/>
              <w:rPr>
                <w:rFonts w:eastAsia="Calibri" w:cs="Arial"/>
              </w:rPr>
            </w:pPr>
            <w:r w:rsidRPr="00CE1990">
              <w:rPr>
                <w:rFonts w:cs="Arial"/>
                <w:bCs/>
                <w:color w:val="000000"/>
                <w:sz w:val="22"/>
                <w:szCs w:val="22"/>
              </w:rPr>
              <w:t>4,</w:t>
            </w:r>
            <w:r w:rsidR="00046AF4" w:rsidRPr="00CE1990">
              <w:rPr>
                <w:rFonts w:cs="Arial"/>
                <w:bCs/>
                <w:color w:val="000000"/>
                <w:sz w:val="22"/>
                <w:szCs w:val="22"/>
              </w:rPr>
              <w:t>665</w:t>
            </w:r>
            <w:r w:rsidRPr="00CE1990">
              <w:rPr>
                <w:rFonts w:cs="Arial"/>
                <w:bCs/>
                <w:color w:val="000000"/>
                <w:sz w:val="22"/>
                <w:szCs w:val="22"/>
              </w:rPr>
              <w:t xml:space="preserve"> </w:t>
            </w:r>
          </w:p>
        </w:tc>
      </w:tr>
      <w:tr w:rsidR="005243A5" w:rsidRPr="00CE1990" w14:paraId="0004A262" w14:textId="77777777" w:rsidTr="60EA432F">
        <w:tc>
          <w:tcPr>
            <w:tcW w:w="3347" w:type="dxa"/>
          </w:tcPr>
          <w:p w14:paraId="342BF6C9" w14:textId="77777777" w:rsidR="005243A5" w:rsidRPr="00CE1990" w:rsidRDefault="005243A5" w:rsidP="005243A5">
            <w:pPr>
              <w:pStyle w:val="ListParagraph"/>
              <w:ind w:left="630" w:hanging="630"/>
              <w:rPr>
                <w:rFonts w:eastAsia="Calibri" w:cs="Arial"/>
              </w:rPr>
            </w:pPr>
            <w:r w:rsidRPr="00CE1990">
              <w:rPr>
                <w:rFonts w:eastAsia="Calibri" w:cs="Arial"/>
              </w:rPr>
              <w:t>2028/29</w:t>
            </w:r>
          </w:p>
        </w:tc>
        <w:tc>
          <w:tcPr>
            <w:tcW w:w="2788" w:type="dxa"/>
            <w:tcBorders>
              <w:top w:val="single" w:sz="4" w:space="0" w:color="auto"/>
              <w:left w:val="single" w:sz="4" w:space="0" w:color="auto"/>
              <w:bottom w:val="nil"/>
              <w:right w:val="nil"/>
            </w:tcBorders>
            <w:shd w:val="clear" w:color="auto" w:fill="auto"/>
            <w:vAlign w:val="bottom"/>
          </w:tcPr>
          <w:p w14:paraId="15A73F09" w14:textId="73F09FFA" w:rsidR="005243A5" w:rsidRPr="00CE1990" w:rsidRDefault="000B53FF" w:rsidP="005243A5">
            <w:pPr>
              <w:pStyle w:val="ListParagraph"/>
              <w:ind w:left="0"/>
              <w:jc w:val="right"/>
              <w:rPr>
                <w:rFonts w:eastAsia="Calibri" w:cs="Arial"/>
              </w:rPr>
            </w:pPr>
            <w:r w:rsidRPr="00CE1990">
              <w:rPr>
                <w:rFonts w:cs="Arial"/>
                <w:bCs/>
                <w:color w:val="000000"/>
                <w:sz w:val="22"/>
                <w:szCs w:val="22"/>
              </w:rPr>
              <w:t>662,130</w:t>
            </w:r>
            <w:r w:rsidR="005243A5" w:rsidRPr="00CE1990">
              <w:rPr>
                <w:rFonts w:cs="Arial"/>
                <w:bCs/>
                <w:color w:val="000000"/>
                <w:sz w:val="22"/>
                <w:szCs w:val="22"/>
              </w:rPr>
              <w:t xml:space="preserve"> </w:t>
            </w:r>
          </w:p>
        </w:tc>
        <w:tc>
          <w:tcPr>
            <w:tcW w:w="2654" w:type="dxa"/>
            <w:tcBorders>
              <w:top w:val="single" w:sz="4" w:space="0" w:color="auto"/>
              <w:left w:val="single" w:sz="4" w:space="0" w:color="auto"/>
              <w:bottom w:val="nil"/>
              <w:right w:val="nil"/>
            </w:tcBorders>
            <w:shd w:val="clear" w:color="auto" w:fill="auto"/>
            <w:vAlign w:val="bottom"/>
          </w:tcPr>
          <w:p w14:paraId="4C29F0B8" w14:textId="4096A392" w:rsidR="005243A5" w:rsidRPr="00CE1990" w:rsidRDefault="00046AF4" w:rsidP="005243A5">
            <w:pPr>
              <w:pStyle w:val="ListParagraph"/>
              <w:ind w:left="0"/>
              <w:jc w:val="right"/>
              <w:rPr>
                <w:rFonts w:eastAsia="Calibri" w:cs="Arial"/>
              </w:rPr>
            </w:pPr>
            <w:r w:rsidRPr="00CE1990">
              <w:rPr>
                <w:rFonts w:cs="Arial"/>
                <w:bCs/>
                <w:color w:val="000000"/>
                <w:sz w:val="22"/>
                <w:szCs w:val="22"/>
              </w:rPr>
              <w:t>5,353</w:t>
            </w:r>
            <w:r w:rsidR="005243A5" w:rsidRPr="00CE1990">
              <w:rPr>
                <w:rFonts w:cs="Arial"/>
                <w:bCs/>
                <w:color w:val="000000"/>
                <w:sz w:val="22"/>
                <w:szCs w:val="22"/>
              </w:rPr>
              <w:t xml:space="preserve"> </w:t>
            </w:r>
          </w:p>
        </w:tc>
      </w:tr>
      <w:tr w:rsidR="00F742A9" w:rsidRPr="00CE1990" w14:paraId="5DD8EE1C" w14:textId="77777777" w:rsidTr="60EA432F">
        <w:tc>
          <w:tcPr>
            <w:tcW w:w="3347" w:type="dxa"/>
          </w:tcPr>
          <w:p w14:paraId="4720EA00" w14:textId="3ACA867E" w:rsidR="00F742A9" w:rsidRPr="00CE1990" w:rsidRDefault="00F742A9" w:rsidP="005243A5">
            <w:pPr>
              <w:pStyle w:val="ListParagraph"/>
              <w:ind w:left="630" w:hanging="630"/>
              <w:rPr>
                <w:rFonts w:eastAsia="Calibri" w:cs="Arial"/>
              </w:rPr>
            </w:pPr>
            <w:r w:rsidRPr="00CE1990">
              <w:rPr>
                <w:rFonts w:eastAsia="Calibri" w:cs="Arial"/>
              </w:rPr>
              <w:t>2029/30</w:t>
            </w:r>
          </w:p>
        </w:tc>
        <w:tc>
          <w:tcPr>
            <w:tcW w:w="2788" w:type="dxa"/>
          </w:tcPr>
          <w:p w14:paraId="54BDE940" w14:textId="05BADF9A" w:rsidR="00F742A9" w:rsidRPr="00CE1990" w:rsidRDefault="000B53FF" w:rsidP="005243A5">
            <w:pPr>
              <w:pStyle w:val="ListParagraph"/>
              <w:ind w:left="0"/>
              <w:jc w:val="right"/>
              <w:rPr>
                <w:rFonts w:eastAsia="Calibri" w:cs="Arial"/>
                <w:sz w:val="22"/>
                <w:szCs w:val="22"/>
              </w:rPr>
            </w:pPr>
            <w:r w:rsidRPr="00CE1990">
              <w:rPr>
                <w:rFonts w:eastAsia="Calibri" w:cs="Arial"/>
                <w:sz w:val="22"/>
                <w:szCs w:val="22"/>
              </w:rPr>
              <w:t>742,130</w:t>
            </w:r>
          </w:p>
        </w:tc>
        <w:tc>
          <w:tcPr>
            <w:tcW w:w="2654" w:type="dxa"/>
          </w:tcPr>
          <w:p w14:paraId="14AA21A2" w14:textId="01938F18" w:rsidR="00F742A9" w:rsidRPr="00CE1990" w:rsidRDefault="0060588B" w:rsidP="005243A5">
            <w:pPr>
              <w:pStyle w:val="ListParagraph"/>
              <w:ind w:left="0"/>
              <w:jc w:val="right"/>
              <w:rPr>
                <w:rFonts w:eastAsia="Calibri" w:cs="Arial"/>
                <w:sz w:val="22"/>
                <w:szCs w:val="22"/>
              </w:rPr>
            </w:pPr>
            <w:r w:rsidRPr="00CE1990">
              <w:rPr>
                <w:rFonts w:eastAsia="Calibri" w:cs="Arial"/>
                <w:sz w:val="22"/>
                <w:szCs w:val="22"/>
              </w:rPr>
              <w:t>4,900</w:t>
            </w:r>
          </w:p>
        </w:tc>
      </w:tr>
      <w:tr w:rsidR="005243A5" w:rsidRPr="00CE1990" w14:paraId="4E565AB0" w14:textId="77777777" w:rsidTr="60EA432F">
        <w:tc>
          <w:tcPr>
            <w:tcW w:w="3347" w:type="dxa"/>
          </w:tcPr>
          <w:p w14:paraId="4CD62D6B" w14:textId="6ACD9761" w:rsidR="005243A5" w:rsidRPr="00CE1990" w:rsidRDefault="005243A5" w:rsidP="005243A5">
            <w:pPr>
              <w:pStyle w:val="ListParagraph"/>
              <w:ind w:left="630" w:hanging="630"/>
              <w:rPr>
                <w:rFonts w:eastAsia="Calibri" w:cs="Arial"/>
              </w:rPr>
            </w:pPr>
            <w:r w:rsidRPr="00CE1990">
              <w:rPr>
                <w:rFonts w:eastAsia="Calibri" w:cs="Arial"/>
              </w:rPr>
              <w:t>203</w:t>
            </w:r>
            <w:r w:rsidR="007714F2" w:rsidRPr="00CE1990">
              <w:rPr>
                <w:rFonts w:eastAsia="Calibri" w:cs="Arial"/>
              </w:rPr>
              <w:t>2</w:t>
            </w:r>
            <w:r w:rsidRPr="00CE1990">
              <w:rPr>
                <w:rFonts w:eastAsia="Calibri" w:cs="Arial"/>
              </w:rPr>
              <w:t>/3</w:t>
            </w:r>
            <w:r w:rsidR="007714F2" w:rsidRPr="00CE1990">
              <w:rPr>
                <w:rFonts w:eastAsia="Calibri" w:cs="Arial"/>
              </w:rPr>
              <w:t>3</w:t>
            </w:r>
            <w:r w:rsidRPr="00CE1990">
              <w:rPr>
                <w:rFonts w:eastAsia="Calibri" w:cs="Arial"/>
              </w:rPr>
              <w:t xml:space="preserve"> – Peak Debt</w:t>
            </w:r>
          </w:p>
        </w:tc>
        <w:tc>
          <w:tcPr>
            <w:tcW w:w="2788" w:type="dxa"/>
          </w:tcPr>
          <w:p w14:paraId="4F9934F8" w14:textId="6CEF9337" w:rsidR="005243A5" w:rsidRPr="00CE1990" w:rsidDel="00B83D86" w:rsidRDefault="007714F2" w:rsidP="005243A5">
            <w:pPr>
              <w:pStyle w:val="ListParagraph"/>
              <w:ind w:left="0"/>
              <w:jc w:val="right"/>
              <w:rPr>
                <w:rFonts w:eastAsia="Calibri" w:cs="Arial"/>
                <w:sz w:val="22"/>
                <w:szCs w:val="22"/>
              </w:rPr>
            </w:pPr>
            <w:r w:rsidRPr="00CE1990">
              <w:rPr>
                <w:rFonts w:eastAsia="Calibri" w:cs="Arial"/>
                <w:sz w:val="22"/>
                <w:szCs w:val="22"/>
              </w:rPr>
              <w:t>851,130</w:t>
            </w:r>
          </w:p>
        </w:tc>
        <w:tc>
          <w:tcPr>
            <w:tcW w:w="2654" w:type="dxa"/>
          </w:tcPr>
          <w:p w14:paraId="4391E04A" w14:textId="0373EF4B" w:rsidR="005243A5" w:rsidRPr="00CE1990" w:rsidRDefault="0060588B" w:rsidP="005243A5">
            <w:pPr>
              <w:pStyle w:val="ListParagraph"/>
              <w:ind w:left="0"/>
              <w:jc w:val="right"/>
              <w:rPr>
                <w:rFonts w:eastAsia="Calibri" w:cs="Arial"/>
                <w:sz w:val="22"/>
                <w:szCs w:val="22"/>
              </w:rPr>
            </w:pPr>
            <w:r w:rsidRPr="00CE1990">
              <w:rPr>
                <w:rFonts w:eastAsia="Calibri" w:cs="Arial"/>
                <w:sz w:val="22"/>
                <w:szCs w:val="22"/>
              </w:rPr>
              <w:t>3,893</w:t>
            </w:r>
          </w:p>
        </w:tc>
      </w:tr>
      <w:tr w:rsidR="005243A5" w:rsidRPr="00CE1990" w14:paraId="0C7688D0" w14:textId="77777777" w:rsidTr="60EA432F">
        <w:tc>
          <w:tcPr>
            <w:tcW w:w="3347" w:type="dxa"/>
          </w:tcPr>
          <w:p w14:paraId="61E1E9AD" w14:textId="77777777" w:rsidR="005243A5" w:rsidRPr="00CE1990" w:rsidRDefault="005243A5" w:rsidP="005243A5">
            <w:pPr>
              <w:pStyle w:val="ListParagraph"/>
              <w:ind w:left="630" w:hanging="630"/>
              <w:rPr>
                <w:rFonts w:eastAsia="Calibri" w:cs="Arial"/>
              </w:rPr>
            </w:pPr>
            <w:r w:rsidRPr="00CE1990">
              <w:rPr>
                <w:rFonts w:eastAsia="Calibri" w:cs="Arial"/>
              </w:rPr>
              <w:t>2060/61</w:t>
            </w:r>
          </w:p>
        </w:tc>
        <w:tc>
          <w:tcPr>
            <w:tcW w:w="2788" w:type="dxa"/>
          </w:tcPr>
          <w:p w14:paraId="32CE8696" w14:textId="5DA875A8" w:rsidR="005243A5" w:rsidRPr="00CE1990" w:rsidRDefault="00436853" w:rsidP="005243A5">
            <w:pPr>
              <w:pStyle w:val="ListParagraph"/>
              <w:ind w:left="0"/>
              <w:jc w:val="right"/>
              <w:rPr>
                <w:rFonts w:eastAsia="Calibri" w:cs="Arial"/>
                <w:sz w:val="22"/>
                <w:szCs w:val="22"/>
              </w:rPr>
            </w:pPr>
            <w:r w:rsidRPr="00CE1990">
              <w:rPr>
                <w:rFonts w:eastAsia="Calibri" w:cs="Arial"/>
                <w:sz w:val="22"/>
                <w:szCs w:val="22"/>
              </w:rPr>
              <w:t>105,079</w:t>
            </w:r>
          </w:p>
        </w:tc>
        <w:tc>
          <w:tcPr>
            <w:tcW w:w="2654" w:type="dxa"/>
          </w:tcPr>
          <w:p w14:paraId="380E022F" w14:textId="638E43F8" w:rsidR="005243A5" w:rsidRPr="00CE1990" w:rsidRDefault="00036846" w:rsidP="005243A5">
            <w:pPr>
              <w:pStyle w:val="ListParagraph"/>
              <w:ind w:left="0"/>
              <w:jc w:val="right"/>
              <w:rPr>
                <w:rFonts w:eastAsia="Calibri" w:cs="Arial"/>
                <w:sz w:val="22"/>
                <w:szCs w:val="22"/>
              </w:rPr>
            </w:pPr>
            <w:r w:rsidRPr="00CE1990">
              <w:rPr>
                <w:rFonts w:eastAsia="Calibri" w:cs="Arial"/>
                <w:sz w:val="22"/>
                <w:szCs w:val="22"/>
              </w:rPr>
              <w:t>89</w:t>
            </w:r>
            <w:r w:rsidR="005243A5" w:rsidRPr="00CE1990">
              <w:rPr>
                <w:rFonts w:eastAsia="Calibri" w:cs="Arial"/>
                <w:sz w:val="22"/>
                <w:szCs w:val="22"/>
              </w:rPr>
              <w:t>4,</w:t>
            </w:r>
            <w:r w:rsidR="00C34B48" w:rsidRPr="00CE1990">
              <w:rPr>
                <w:rFonts w:eastAsia="Calibri" w:cs="Arial"/>
                <w:sz w:val="22"/>
                <w:szCs w:val="22"/>
              </w:rPr>
              <w:t>757</w:t>
            </w:r>
          </w:p>
        </w:tc>
      </w:tr>
    </w:tbl>
    <w:p w14:paraId="128DA56F" w14:textId="0269263D" w:rsidR="00092035" w:rsidRPr="00CE1990" w:rsidRDefault="00092035" w:rsidP="00092035">
      <w:pPr>
        <w:pStyle w:val="ListParagraph"/>
        <w:rPr>
          <w:rFonts w:eastAsia="Calibri" w:cs="Arial"/>
        </w:rPr>
      </w:pPr>
    </w:p>
    <w:p w14:paraId="3D93F9DE" w14:textId="5FE744DA" w:rsidR="00F94CEC" w:rsidRPr="001E522B" w:rsidRDefault="79CAE0DE" w:rsidP="00F42D9C">
      <w:pPr>
        <w:pStyle w:val="ListParagraph"/>
        <w:numPr>
          <w:ilvl w:val="0"/>
          <w:numId w:val="1"/>
        </w:numPr>
        <w:ind w:left="426" w:hanging="426"/>
        <w:rPr>
          <w:rFonts w:eastAsia="Calibri" w:cs="Arial"/>
        </w:rPr>
      </w:pPr>
      <w:r w:rsidRPr="6F9FB908">
        <w:rPr>
          <w:rFonts w:eastAsia="Calibri" w:cs="Arial"/>
        </w:rPr>
        <w:t>In the latter years of the 40</w:t>
      </w:r>
      <w:r w:rsidR="0E65876F" w:rsidRPr="6F9FB908">
        <w:rPr>
          <w:rFonts w:eastAsia="Calibri" w:cs="Arial"/>
        </w:rPr>
        <w:t>-</w:t>
      </w:r>
      <w:r w:rsidRPr="6F9FB908">
        <w:rPr>
          <w:rFonts w:eastAsia="Calibri" w:cs="Arial"/>
        </w:rPr>
        <w:t xml:space="preserve">year Business Plan, HRA working balances begin to increase once again, enabling increased activity to be undertaken. </w:t>
      </w:r>
    </w:p>
    <w:p w14:paraId="33462444" w14:textId="77777777" w:rsidR="00D93703" w:rsidRPr="00B96FC0" w:rsidRDefault="00D93703" w:rsidP="00104315">
      <w:pPr>
        <w:ind w:left="709" w:hanging="709"/>
        <w:rPr>
          <w:rFonts w:eastAsia="Calibri" w:cs="Arial"/>
          <w:highlight w:val="yellow"/>
        </w:rPr>
      </w:pPr>
    </w:p>
    <w:p w14:paraId="24EA1D0C" w14:textId="77777777" w:rsidR="00B00CF9" w:rsidRPr="00B96FC0" w:rsidRDefault="00B00CF9" w:rsidP="009B6A85">
      <w:pPr>
        <w:pStyle w:val="ListParagraph"/>
        <w:ind w:left="709" w:hanging="709"/>
        <w:rPr>
          <w:rFonts w:eastAsia="Calibri" w:cs="Arial"/>
          <w:highlight w:val="yellow"/>
        </w:rPr>
      </w:pPr>
    </w:p>
    <w:p w14:paraId="44690EC1" w14:textId="3B584C69" w:rsidR="00CB1092" w:rsidRPr="00B96FC0" w:rsidRDefault="003362DC" w:rsidP="009B6A85">
      <w:pPr>
        <w:ind w:left="709" w:hanging="709"/>
        <w:rPr>
          <w:rFonts w:cs="Arial"/>
          <w:highlight w:val="yellow"/>
        </w:rPr>
      </w:pPr>
      <w:r w:rsidRPr="001E4203">
        <w:rPr>
          <w:rFonts w:eastAsia="Calibri" w:cs="Arial"/>
          <w:b/>
        </w:rPr>
        <w:t>Ke</w:t>
      </w:r>
      <w:r w:rsidR="00CB1092" w:rsidRPr="001E4203">
        <w:rPr>
          <w:rFonts w:cs="Arial"/>
          <w:b/>
        </w:rPr>
        <w:t>y assumptions made in preparing the HRA budget</w:t>
      </w:r>
      <w:r w:rsidR="00CA168A" w:rsidRPr="001E4203">
        <w:rPr>
          <w:rFonts w:cs="Arial"/>
          <w:b/>
        </w:rPr>
        <w:t xml:space="preserve"> for 20</w:t>
      </w:r>
      <w:r w:rsidR="00223741" w:rsidRPr="001E4203">
        <w:rPr>
          <w:rFonts w:cs="Arial"/>
          <w:b/>
        </w:rPr>
        <w:t>2</w:t>
      </w:r>
      <w:r w:rsidR="001E4203" w:rsidRPr="001E4203">
        <w:rPr>
          <w:rFonts w:cs="Arial"/>
          <w:b/>
        </w:rPr>
        <w:t>5</w:t>
      </w:r>
      <w:r w:rsidR="00CA168A" w:rsidRPr="001E4203">
        <w:rPr>
          <w:rFonts w:cs="Arial"/>
          <w:b/>
        </w:rPr>
        <w:t>/</w:t>
      </w:r>
      <w:r w:rsidR="00D34F3F" w:rsidRPr="001E4203">
        <w:rPr>
          <w:rFonts w:cs="Arial"/>
          <w:b/>
        </w:rPr>
        <w:t>2</w:t>
      </w:r>
      <w:r w:rsidR="001E4203" w:rsidRPr="001E4203">
        <w:rPr>
          <w:rFonts w:cs="Arial"/>
          <w:b/>
        </w:rPr>
        <w:t>6</w:t>
      </w:r>
      <w:r w:rsidR="00CA168A" w:rsidRPr="001E4203">
        <w:rPr>
          <w:rFonts w:cs="Arial"/>
          <w:b/>
        </w:rPr>
        <w:t xml:space="preserve"> – </w:t>
      </w:r>
      <w:proofErr w:type="gramStart"/>
      <w:r w:rsidR="00CA168A" w:rsidRPr="001E4203">
        <w:rPr>
          <w:rFonts w:cs="Arial"/>
          <w:b/>
        </w:rPr>
        <w:t>20</w:t>
      </w:r>
      <w:r w:rsidR="00884460" w:rsidRPr="001E4203">
        <w:rPr>
          <w:rFonts w:cs="Arial"/>
          <w:b/>
        </w:rPr>
        <w:t>2</w:t>
      </w:r>
      <w:r w:rsidR="001E4203" w:rsidRPr="001E4203">
        <w:rPr>
          <w:rFonts w:cs="Arial"/>
          <w:b/>
        </w:rPr>
        <w:t>9</w:t>
      </w:r>
      <w:r w:rsidR="005C674D" w:rsidRPr="001E4203">
        <w:rPr>
          <w:rFonts w:cs="Arial"/>
          <w:b/>
        </w:rPr>
        <w:t>/</w:t>
      </w:r>
      <w:r w:rsidR="001E4203" w:rsidRPr="001E4203">
        <w:rPr>
          <w:rFonts w:cs="Arial"/>
          <w:b/>
        </w:rPr>
        <w:t>30</w:t>
      </w:r>
      <w:proofErr w:type="gramEnd"/>
      <w:r w:rsidR="00CB1092" w:rsidRPr="001E4203">
        <w:rPr>
          <w:rFonts w:cs="Arial"/>
          <w:b/>
        </w:rPr>
        <w:t xml:space="preserve"> </w:t>
      </w:r>
      <w:r w:rsidR="00CB1092" w:rsidRPr="001E4203">
        <w:rPr>
          <w:rFonts w:cs="Arial"/>
        </w:rPr>
        <w:t xml:space="preserve"> </w:t>
      </w:r>
    </w:p>
    <w:p w14:paraId="44D306B2" w14:textId="77777777" w:rsidR="00B519B5" w:rsidRPr="00B96FC0" w:rsidRDefault="00B519B5" w:rsidP="009B6A85">
      <w:pPr>
        <w:ind w:left="709" w:hanging="709"/>
        <w:rPr>
          <w:rFonts w:cs="Arial"/>
          <w:highlight w:val="yellow"/>
        </w:rPr>
      </w:pPr>
    </w:p>
    <w:p w14:paraId="6EB4A31E" w14:textId="69D58A48" w:rsidR="00B519B5" w:rsidRPr="001E4203" w:rsidRDefault="00B519B5" w:rsidP="009B6A85">
      <w:pPr>
        <w:ind w:left="709" w:hanging="709"/>
        <w:rPr>
          <w:rFonts w:cs="Arial"/>
          <w:b/>
        </w:rPr>
      </w:pPr>
      <w:r w:rsidRPr="001E4203">
        <w:rPr>
          <w:rFonts w:cs="Arial"/>
          <w:b/>
        </w:rPr>
        <w:t>Rent Increases</w:t>
      </w:r>
    </w:p>
    <w:p w14:paraId="0D67E133" w14:textId="77777777" w:rsidR="001F46D8" w:rsidRPr="001E4203" w:rsidRDefault="001F46D8" w:rsidP="009B6A85">
      <w:pPr>
        <w:ind w:left="709" w:hanging="709"/>
        <w:rPr>
          <w:rFonts w:cs="Arial"/>
        </w:rPr>
      </w:pPr>
    </w:p>
    <w:p w14:paraId="3738F237" w14:textId="30F4128F" w:rsidR="00172E4B" w:rsidRPr="001E4203" w:rsidRDefault="7F5196BA" w:rsidP="00F42D9C">
      <w:pPr>
        <w:pStyle w:val="ListParagraph"/>
        <w:numPr>
          <w:ilvl w:val="0"/>
          <w:numId w:val="1"/>
        </w:numPr>
        <w:ind w:left="426" w:hanging="426"/>
      </w:pPr>
      <w:r w:rsidRPr="6F9FB908">
        <w:rPr>
          <w:rFonts w:eastAsia="Calibri" w:cs="Arial"/>
        </w:rPr>
        <w:t>Under the Government</w:t>
      </w:r>
      <w:r w:rsidR="00F76BF5">
        <w:rPr>
          <w:rFonts w:eastAsia="Calibri" w:cs="Arial"/>
        </w:rPr>
        <w:t>’</w:t>
      </w:r>
      <w:r w:rsidRPr="6F9FB908">
        <w:rPr>
          <w:rFonts w:eastAsia="Calibri" w:cs="Arial"/>
        </w:rPr>
        <w:t>s rent standard from 1</w:t>
      </w:r>
      <w:r w:rsidRPr="6F9FB908">
        <w:rPr>
          <w:rFonts w:eastAsia="Calibri" w:cs="Arial"/>
          <w:vertAlign w:val="superscript"/>
        </w:rPr>
        <w:t>st</w:t>
      </w:r>
      <w:r w:rsidRPr="6F9FB908">
        <w:rPr>
          <w:rFonts w:eastAsia="Calibri" w:cs="Arial"/>
        </w:rPr>
        <w:t xml:space="preserve"> April 2020 rent may only be   increased by </w:t>
      </w:r>
      <w:r w:rsidR="4BE9FA2D" w:rsidRPr="6F9FB908">
        <w:rPr>
          <w:rFonts w:eastAsia="Calibri" w:cs="Arial"/>
        </w:rPr>
        <w:t xml:space="preserve">up to </w:t>
      </w:r>
      <w:r w:rsidRPr="6F9FB908">
        <w:rPr>
          <w:rFonts w:eastAsia="Calibri" w:cs="Arial"/>
        </w:rPr>
        <w:t xml:space="preserve">CPI </w:t>
      </w:r>
      <w:r w:rsidR="4365F845" w:rsidRPr="6F9FB908">
        <w:rPr>
          <w:rFonts w:eastAsia="Calibri" w:cs="Arial"/>
        </w:rPr>
        <w:t xml:space="preserve">(as </w:t>
      </w:r>
      <w:proofErr w:type="gramStart"/>
      <w:r w:rsidR="4365F845" w:rsidRPr="6F9FB908">
        <w:rPr>
          <w:rFonts w:eastAsia="Calibri" w:cs="Arial"/>
        </w:rPr>
        <w:t>at</w:t>
      </w:r>
      <w:proofErr w:type="gramEnd"/>
      <w:r w:rsidR="4365F845" w:rsidRPr="6F9FB908">
        <w:rPr>
          <w:rFonts w:eastAsia="Calibri" w:cs="Arial"/>
        </w:rPr>
        <w:t xml:space="preserve"> September of the preceding year) </w:t>
      </w:r>
      <w:r w:rsidRPr="6F9FB908">
        <w:rPr>
          <w:rFonts w:eastAsia="Calibri" w:cs="Arial"/>
        </w:rPr>
        <w:t xml:space="preserve">+1% for a period of </w:t>
      </w:r>
      <w:r w:rsidR="3FDC572E" w:rsidRPr="6F9FB908">
        <w:rPr>
          <w:rFonts w:eastAsia="Calibri" w:cs="Arial"/>
        </w:rPr>
        <w:t>five</w:t>
      </w:r>
      <w:r w:rsidRPr="6F9FB908">
        <w:rPr>
          <w:rFonts w:eastAsia="Calibri" w:cs="Arial"/>
        </w:rPr>
        <w:t xml:space="preserve"> years for local authority and housing association social rents</w:t>
      </w:r>
      <w:r w:rsidR="4365F845" w:rsidRPr="6F9FB908">
        <w:rPr>
          <w:rFonts w:eastAsia="Calibri" w:cs="Arial"/>
        </w:rPr>
        <w:t xml:space="preserve"> up to 2025-26 at which point this will be reviewed by the Government</w:t>
      </w:r>
      <w:r w:rsidRPr="6F9FB908">
        <w:rPr>
          <w:rFonts w:eastAsia="Calibri" w:cs="Arial"/>
        </w:rPr>
        <w:t xml:space="preserve">. </w:t>
      </w:r>
      <w:r w:rsidR="4365F845" w:rsidRPr="6F9FB908">
        <w:rPr>
          <w:rFonts w:eastAsia="Calibri" w:cs="Arial"/>
        </w:rPr>
        <w:t xml:space="preserve">The financial year </w:t>
      </w:r>
      <w:r w:rsidRPr="6F9FB908">
        <w:rPr>
          <w:rFonts w:eastAsia="Calibri" w:cs="Arial"/>
        </w:rPr>
        <w:t>202</w:t>
      </w:r>
      <w:r w:rsidR="3DDEDC95" w:rsidRPr="6F9FB908">
        <w:rPr>
          <w:rFonts w:eastAsia="Calibri" w:cs="Arial"/>
        </w:rPr>
        <w:t>5</w:t>
      </w:r>
      <w:r w:rsidRPr="6F9FB908">
        <w:rPr>
          <w:rFonts w:eastAsia="Calibri" w:cs="Arial"/>
        </w:rPr>
        <w:t>/2</w:t>
      </w:r>
      <w:r w:rsidR="3DDEDC95" w:rsidRPr="6F9FB908">
        <w:rPr>
          <w:rFonts w:eastAsia="Calibri" w:cs="Arial"/>
        </w:rPr>
        <w:t>6</w:t>
      </w:r>
      <w:r w:rsidRPr="6F9FB908">
        <w:rPr>
          <w:rFonts w:eastAsia="Calibri" w:cs="Arial"/>
        </w:rPr>
        <w:t xml:space="preserve"> </w:t>
      </w:r>
      <w:r w:rsidR="4365F845" w:rsidRPr="6F9FB908">
        <w:rPr>
          <w:rFonts w:eastAsia="Calibri" w:cs="Arial"/>
        </w:rPr>
        <w:t>would be t</w:t>
      </w:r>
      <w:r>
        <w:t xml:space="preserve">he </w:t>
      </w:r>
      <w:r w:rsidR="4365F845">
        <w:t>f</w:t>
      </w:r>
      <w:r w:rsidR="79CAE0DE">
        <w:t>ifth</w:t>
      </w:r>
      <w:r>
        <w:t xml:space="preserve"> year of the rent standard. </w:t>
      </w:r>
    </w:p>
    <w:p w14:paraId="7F6DD682" w14:textId="38FDF4AD" w:rsidR="0524FC4A" w:rsidRDefault="6D1B3B1F" w:rsidP="00F42D9C">
      <w:pPr>
        <w:pStyle w:val="ListParagraph"/>
        <w:numPr>
          <w:ilvl w:val="0"/>
          <w:numId w:val="1"/>
        </w:numPr>
        <w:ind w:left="426" w:hanging="426"/>
      </w:pPr>
      <w:r>
        <w:t>In her Budget Announcement on 30</w:t>
      </w:r>
      <w:r w:rsidRPr="6F9FB908">
        <w:rPr>
          <w:vertAlign w:val="superscript"/>
        </w:rPr>
        <w:t>th</w:t>
      </w:r>
      <w:r>
        <w:t xml:space="preserve"> October </w:t>
      </w:r>
      <w:r w:rsidR="64DD04E4">
        <w:t>the</w:t>
      </w:r>
      <w:r>
        <w:t xml:space="preserve"> Chancellor advised that the Government would consult on an extension of the rent </w:t>
      </w:r>
      <w:r w:rsidR="33F23899">
        <w:t xml:space="preserve">standard of CPI+1% for a </w:t>
      </w:r>
      <w:r w:rsidR="33F23899">
        <w:lastRenderedPageBreak/>
        <w:t xml:space="preserve">further 5 years and seek views as to </w:t>
      </w:r>
      <w:r w:rsidR="55C84D99">
        <w:t xml:space="preserve">whether this should be extended for a further 10 years. </w:t>
      </w:r>
    </w:p>
    <w:p w14:paraId="3292957E" w14:textId="77777777" w:rsidR="00B6421A" w:rsidRPr="00527D86" w:rsidRDefault="00B6421A" w:rsidP="00527D86">
      <w:pPr>
        <w:rPr>
          <w:rStyle w:val="normaltextrun"/>
          <w:rFonts w:cs="Arial"/>
          <w:color w:val="000000"/>
          <w:shd w:val="clear" w:color="auto" w:fill="FFFFFF"/>
        </w:rPr>
      </w:pPr>
    </w:p>
    <w:p w14:paraId="780CAC1F" w14:textId="0A384CB0" w:rsidR="00A4766A" w:rsidRPr="00F13010" w:rsidRDefault="39C4D2A6" w:rsidP="00F42D9C">
      <w:pPr>
        <w:pStyle w:val="ListParagraph"/>
        <w:numPr>
          <w:ilvl w:val="0"/>
          <w:numId w:val="1"/>
        </w:numPr>
        <w:ind w:left="426" w:hanging="426"/>
      </w:pPr>
      <w:r>
        <w:t>As well as the restriction on maximum increases, rents are also capped as follows:</w:t>
      </w:r>
    </w:p>
    <w:p w14:paraId="19341627" w14:textId="0B1949C8" w:rsidR="00A4766A" w:rsidRPr="00F13010" w:rsidRDefault="00A4766A" w:rsidP="009046B9">
      <w:pPr>
        <w:pStyle w:val="ListParagraph"/>
        <w:numPr>
          <w:ilvl w:val="0"/>
          <w:numId w:val="24"/>
        </w:numPr>
        <w:spacing w:after="160" w:line="259" w:lineRule="auto"/>
        <w:ind w:left="1701" w:hanging="425"/>
        <w:contextualSpacing/>
        <w:jc w:val="both"/>
      </w:pPr>
      <w:r w:rsidRPr="00F13010">
        <w:rPr>
          <w:b/>
          <w:bCs/>
        </w:rPr>
        <w:t>Social Rent</w:t>
      </w:r>
      <w:r w:rsidRPr="00F13010">
        <w:t xml:space="preserve"> – </w:t>
      </w:r>
      <w:r w:rsidR="008254FD" w:rsidRPr="00F13010">
        <w:t xml:space="preserve">applies to </w:t>
      </w:r>
      <w:proofErr w:type="gramStart"/>
      <w:r w:rsidR="008254FD" w:rsidRPr="00F13010">
        <w:t>the majority of</w:t>
      </w:r>
      <w:proofErr w:type="gramEnd"/>
      <w:r w:rsidR="008254FD" w:rsidRPr="00F13010">
        <w:t xml:space="preserve"> council dwellings - </w:t>
      </w:r>
      <w:r w:rsidRPr="00F13010">
        <w:t xml:space="preserve">rent caps apply as a maximum ceiling on the formula </w:t>
      </w:r>
      <w:r w:rsidR="50D017AD" w:rsidRPr="00F13010">
        <w:t>rent and</w:t>
      </w:r>
      <w:r w:rsidRPr="00F13010">
        <w:t xml:space="preserve"> depend on the size of the property (the number of bedrooms it contains). Where the formula rent would be higher than the rent cap for a particular size of property, the rent cap must be used instead.</w:t>
      </w:r>
    </w:p>
    <w:p w14:paraId="7E42976D" w14:textId="6AD7F961" w:rsidR="00A4766A" w:rsidRPr="00F13010" w:rsidRDefault="00A4766A" w:rsidP="009046B9">
      <w:pPr>
        <w:pStyle w:val="ListParagraph"/>
        <w:numPr>
          <w:ilvl w:val="0"/>
          <w:numId w:val="24"/>
        </w:numPr>
        <w:spacing w:after="160" w:line="259" w:lineRule="auto"/>
        <w:ind w:left="1701" w:hanging="425"/>
        <w:contextualSpacing/>
        <w:jc w:val="both"/>
      </w:pPr>
      <w:r w:rsidRPr="00F13010">
        <w:rPr>
          <w:b/>
        </w:rPr>
        <w:t>Affordable Rents</w:t>
      </w:r>
      <w:r w:rsidRPr="00F13010">
        <w:t xml:space="preserve"> </w:t>
      </w:r>
      <w:r w:rsidR="008254FD" w:rsidRPr="00F13010">
        <w:t>–</w:t>
      </w:r>
      <w:r w:rsidRPr="00F13010">
        <w:t xml:space="preserve"> </w:t>
      </w:r>
      <w:r w:rsidR="008254FD" w:rsidRPr="00F13010">
        <w:t xml:space="preserve">applies to around 50 of our dwellings - </w:t>
      </w:r>
      <w:r w:rsidRPr="00F13010">
        <w:t xml:space="preserve">The rent for affordable rent housing (inclusive of service charges) must not exceed 80% of gross market rent. ‘Gross market rent’ means the rent (inclusive of any applicable service charges) for which the accommodation might reasonably be expected to be let in the private rented sector. Property size, location type and service provision must be </w:t>
      </w:r>
      <w:proofErr w:type="gramStart"/>
      <w:r w:rsidRPr="00F13010">
        <w:t>taken into account</w:t>
      </w:r>
      <w:proofErr w:type="gramEnd"/>
      <w:r w:rsidRPr="00F13010">
        <w:t xml:space="preserve"> when determining what gross market rent a property might achieve if let in the private rented sector.</w:t>
      </w:r>
    </w:p>
    <w:p w14:paraId="5F2C0286" w14:textId="77777777" w:rsidR="000602B2" w:rsidRDefault="000602B2" w:rsidP="00104315">
      <w:pPr>
        <w:pStyle w:val="ListParagraph"/>
        <w:ind w:left="709" w:hanging="709"/>
        <w:jc w:val="both"/>
      </w:pPr>
    </w:p>
    <w:p w14:paraId="577B08BC" w14:textId="77777777" w:rsidR="00CA5DB0" w:rsidRDefault="39C4D2A6" w:rsidP="00F42D9C">
      <w:pPr>
        <w:pStyle w:val="ListParagraph"/>
        <w:numPr>
          <w:ilvl w:val="0"/>
          <w:numId w:val="1"/>
        </w:numPr>
        <w:ind w:left="426" w:hanging="426"/>
      </w:pPr>
      <w:r>
        <w:t>The HRA must adhere to these restrictions and caps on rent increases even if a tenant’s rent is below formula rent, or if the HRA has previously applied a lower – or no – annual increase. Where this is the case, the HRA may only move the rent up to formula rent when the property is re-let following vacancy (subject to the rent cap).</w:t>
      </w:r>
    </w:p>
    <w:p w14:paraId="4A81546E" w14:textId="77777777" w:rsidR="005B0941" w:rsidRDefault="005B0941" w:rsidP="00104315">
      <w:pPr>
        <w:pStyle w:val="ListParagraph"/>
        <w:ind w:left="709" w:hanging="709"/>
      </w:pPr>
    </w:p>
    <w:p w14:paraId="45688C75" w14:textId="2A9252DB" w:rsidR="00A4766A" w:rsidRDefault="39C4D2A6" w:rsidP="00F42D9C">
      <w:pPr>
        <w:pStyle w:val="ListParagraph"/>
        <w:numPr>
          <w:ilvl w:val="0"/>
          <w:numId w:val="1"/>
        </w:numPr>
        <w:ind w:left="426" w:hanging="426"/>
      </w:pPr>
      <w:r>
        <w:t xml:space="preserve">The table below demonstrates the amount of rental income foregone </w:t>
      </w:r>
      <w:proofErr w:type="gramStart"/>
      <w:r>
        <w:t>as a result of</w:t>
      </w:r>
      <w:proofErr w:type="gramEnd"/>
      <w:r>
        <w:t xml:space="preserve"> these restrictions.</w:t>
      </w:r>
    </w:p>
    <w:p w14:paraId="1405CDCC" w14:textId="77777777" w:rsidR="00344269" w:rsidRDefault="00344269" w:rsidP="00344269">
      <w:pPr>
        <w:pStyle w:val="ListParagraph"/>
      </w:pPr>
    </w:p>
    <w:p w14:paraId="1CE83A00" w14:textId="77777777" w:rsidR="00344269" w:rsidRPr="00A321DA" w:rsidRDefault="00344269" w:rsidP="00344269">
      <w:pPr>
        <w:pStyle w:val="ListParagraph"/>
        <w:ind w:left="426"/>
      </w:pPr>
    </w:p>
    <w:p w14:paraId="58AA1BFB" w14:textId="77777777" w:rsidR="00FE7CC9" w:rsidRPr="00A321DA" w:rsidRDefault="00FE7CC9" w:rsidP="00DD2FE0">
      <w:pPr>
        <w:ind w:left="720" w:hanging="720"/>
        <w:jc w:val="both"/>
      </w:pPr>
    </w:p>
    <w:tbl>
      <w:tblPr>
        <w:tblStyle w:val="TableGrid"/>
        <w:tblW w:w="0" w:type="auto"/>
        <w:tblInd w:w="704" w:type="dxa"/>
        <w:tblLook w:val="04A0" w:firstRow="1" w:lastRow="0" w:firstColumn="1" w:lastColumn="0" w:noHBand="0" w:noVBand="1"/>
      </w:tblPr>
      <w:tblGrid>
        <w:gridCol w:w="1981"/>
        <w:gridCol w:w="1816"/>
        <w:gridCol w:w="2249"/>
        <w:gridCol w:w="2725"/>
      </w:tblGrid>
      <w:tr w:rsidR="00893574" w:rsidRPr="00A321DA" w14:paraId="13C23288" w14:textId="77777777" w:rsidTr="60EA432F">
        <w:tc>
          <w:tcPr>
            <w:tcW w:w="8789" w:type="dxa"/>
            <w:gridSpan w:val="4"/>
            <w:shd w:val="clear" w:color="auto" w:fill="D9D9D9" w:themeFill="background1" w:themeFillShade="D9"/>
          </w:tcPr>
          <w:p w14:paraId="35CCFAE7" w14:textId="7463510A" w:rsidR="00893574" w:rsidRPr="00A321DA" w:rsidRDefault="1278DF05" w:rsidP="60EA432F">
            <w:pPr>
              <w:rPr>
                <w:rFonts w:asciiTheme="minorHAnsi" w:hAnsiTheme="minorHAnsi" w:cstheme="minorBidi"/>
                <w:b/>
                <w:bCs/>
                <w:sz w:val="22"/>
                <w:szCs w:val="22"/>
              </w:rPr>
            </w:pPr>
            <w:proofErr w:type="gramStart"/>
            <w:r w:rsidRPr="60EA432F">
              <w:rPr>
                <w:rFonts w:asciiTheme="minorHAnsi" w:hAnsiTheme="minorHAnsi" w:cstheme="minorBidi"/>
                <w:b/>
                <w:bCs/>
                <w:sz w:val="22"/>
                <w:szCs w:val="22"/>
              </w:rPr>
              <w:t xml:space="preserve">Table </w:t>
            </w:r>
            <w:r w:rsidR="7E9D9997" w:rsidRPr="60EA432F">
              <w:rPr>
                <w:rFonts w:asciiTheme="minorHAnsi" w:hAnsiTheme="minorHAnsi" w:cstheme="minorBidi"/>
                <w:b/>
                <w:bCs/>
                <w:sz w:val="22"/>
                <w:szCs w:val="22"/>
              </w:rPr>
              <w:t xml:space="preserve"> :</w:t>
            </w:r>
            <w:proofErr w:type="gramEnd"/>
            <w:r w:rsidR="7E9D9997" w:rsidRPr="60EA432F">
              <w:rPr>
                <w:rFonts w:asciiTheme="minorHAnsi" w:hAnsiTheme="minorHAnsi" w:cstheme="minorBidi"/>
                <w:b/>
                <w:bCs/>
                <w:sz w:val="22"/>
                <w:szCs w:val="22"/>
              </w:rPr>
              <w:t xml:space="preserve"> </w:t>
            </w:r>
            <w:r w:rsidR="4EDFDDBA" w:rsidRPr="60EA432F">
              <w:rPr>
                <w:rFonts w:asciiTheme="minorHAnsi" w:hAnsiTheme="minorHAnsi" w:cstheme="minorBidi"/>
                <w:b/>
                <w:bCs/>
                <w:sz w:val="22"/>
                <w:szCs w:val="22"/>
              </w:rPr>
              <w:t xml:space="preserve"> Rental Income Foregone</w:t>
            </w:r>
          </w:p>
        </w:tc>
      </w:tr>
      <w:tr w:rsidR="00A4766A" w:rsidRPr="00A321DA" w14:paraId="0170329C" w14:textId="77777777" w:rsidTr="60EA432F">
        <w:tc>
          <w:tcPr>
            <w:tcW w:w="1985" w:type="dxa"/>
            <w:shd w:val="clear" w:color="auto" w:fill="D9D9D9" w:themeFill="background1" w:themeFillShade="D9"/>
          </w:tcPr>
          <w:p w14:paraId="56E138DF" w14:textId="77777777" w:rsidR="00A4766A" w:rsidRPr="00A321DA" w:rsidRDefault="00A4766A" w:rsidP="005D0A34">
            <w:pPr>
              <w:rPr>
                <w:rFonts w:asciiTheme="minorHAnsi" w:hAnsiTheme="minorHAnsi" w:cstheme="minorHAnsi"/>
                <w:sz w:val="22"/>
                <w:szCs w:val="22"/>
              </w:rPr>
            </w:pPr>
          </w:p>
        </w:tc>
        <w:tc>
          <w:tcPr>
            <w:tcW w:w="1819" w:type="dxa"/>
            <w:shd w:val="clear" w:color="auto" w:fill="D9D9D9" w:themeFill="background1" w:themeFillShade="D9"/>
          </w:tcPr>
          <w:p w14:paraId="194FB116" w14:textId="77777777" w:rsidR="00A4766A" w:rsidRPr="00A321DA" w:rsidRDefault="00A4766A" w:rsidP="005D0A34">
            <w:pPr>
              <w:jc w:val="center"/>
              <w:rPr>
                <w:rFonts w:asciiTheme="minorHAnsi" w:hAnsiTheme="minorHAnsi" w:cstheme="minorHAnsi"/>
                <w:b/>
                <w:sz w:val="22"/>
                <w:szCs w:val="22"/>
              </w:rPr>
            </w:pPr>
            <w:r w:rsidRPr="00A321DA">
              <w:rPr>
                <w:rFonts w:asciiTheme="minorHAnsi" w:hAnsiTheme="minorHAnsi" w:cstheme="minorHAnsi"/>
                <w:b/>
                <w:sz w:val="22"/>
                <w:szCs w:val="22"/>
              </w:rPr>
              <w:t>Number of Properties</w:t>
            </w:r>
          </w:p>
        </w:tc>
        <w:tc>
          <w:tcPr>
            <w:tcW w:w="2254" w:type="dxa"/>
            <w:shd w:val="clear" w:color="auto" w:fill="D9D9D9" w:themeFill="background1" w:themeFillShade="D9"/>
          </w:tcPr>
          <w:p w14:paraId="214945F4" w14:textId="77777777" w:rsidR="00A4766A" w:rsidRPr="00A321DA" w:rsidRDefault="00A4766A" w:rsidP="005D0A34">
            <w:pPr>
              <w:jc w:val="center"/>
              <w:rPr>
                <w:rFonts w:asciiTheme="minorHAnsi" w:hAnsiTheme="minorHAnsi" w:cstheme="minorHAnsi"/>
                <w:b/>
                <w:sz w:val="22"/>
                <w:szCs w:val="22"/>
              </w:rPr>
            </w:pPr>
            <w:r w:rsidRPr="00A321DA">
              <w:rPr>
                <w:rFonts w:asciiTheme="minorHAnsi" w:hAnsiTheme="minorHAnsi" w:cstheme="minorHAnsi"/>
                <w:b/>
                <w:sz w:val="22"/>
                <w:szCs w:val="22"/>
              </w:rPr>
              <w:t>Total Weekly Rent Foregone</w:t>
            </w:r>
          </w:p>
        </w:tc>
        <w:tc>
          <w:tcPr>
            <w:tcW w:w="2731" w:type="dxa"/>
            <w:shd w:val="clear" w:color="auto" w:fill="D9D9D9" w:themeFill="background1" w:themeFillShade="D9"/>
          </w:tcPr>
          <w:p w14:paraId="130D5485" w14:textId="77777777" w:rsidR="00A4766A" w:rsidRPr="00A321DA" w:rsidRDefault="00A4766A" w:rsidP="005D0A34">
            <w:pPr>
              <w:jc w:val="center"/>
              <w:rPr>
                <w:rFonts w:asciiTheme="minorHAnsi" w:hAnsiTheme="minorHAnsi" w:cstheme="minorHAnsi"/>
                <w:b/>
                <w:sz w:val="22"/>
                <w:szCs w:val="22"/>
              </w:rPr>
            </w:pPr>
            <w:r w:rsidRPr="00A321DA">
              <w:rPr>
                <w:rFonts w:asciiTheme="minorHAnsi" w:hAnsiTheme="minorHAnsi" w:cstheme="minorHAnsi"/>
                <w:b/>
                <w:sz w:val="22"/>
                <w:szCs w:val="22"/>
              </w:rPr>
              <w:t>Total Annual Rental Income Foregone</w:t>
            </w:r>
          </w:p>
        </w:tc>
      </w:tr>
      <w:tr w:rsidR="00A4766A" w:rsidRPr="00B96FC0" w14:paraId="0D4E0037" w14:textId="77777777" w:rsidTr="60EA432F">
        <w:tc>
          <w:tcPr>
            <w:tcW w:w="1985" w:type="dxa"/>
          </w:tcPr>
          <w:p w14:paraId="4852384E" w14:textId="77777777" w:rsidR="00A4766A" w:rsidRPr="00A321DA" w:rsidRDefault="00A4766A" w:rsidP="005D0A34">
            <w:pPr>
              <w:rPr>
                <w:rFonts w:cs="Arial"/>
              </w:rPr>
            </w:pPr>
            <w:r w:rsidRPr="00A321DA">
              <w:rPr>
                <w:rFonts w:cs="Arial"/>
              </w:rPr>
              <w:t>Actual Rent is less than Formula Rent</w:t>
            </w:r>
          </w:p>
        </w:tc>
        <w:tc>
          <w:tcPr>
            <w:tcW w:w="1819" w:type="dxa"/>
            <w:vAlign w:val="center"/>
          </w:tcPr>
          <w:p w14:paraId="1546D391" w14:textId="571AFC46" w:rsidR="00A4766A" w:rsidRPr="00A321DA" w:rsidRDefault="00B6421A" w:rsidP="005D0A34">
            <w:pPr>
              <w:jc w:val="right"/>
              <w:rPr>
                <w:rFonts w:asciiTheme="minorHAnsi" w:hAnsiTheme="minorHAnsi" w:cstheme="minorHAnsi"/>
              </w:rPr>
            </w:pPr>
            <w:r w:rsidRPr="00A321DA">
              <w:rPr>
                <w:rFonts w:asciiTheme="minorHAnsi" w:hAnsiTheme="minorHAnsi" w:cstheme="minorHAnsi"/>
              </w:rPr>
              <w:t>7,</w:t>
            </w:r>
            <w:r w:rsidR="0059575F" w:rsidRPr="00A321DA">
              <w:rPr>
                <w:rFonts w:asciiTheme="minorHAnsi" w:hAnsiTheme="minorHAnsi" w:cstheme="minorHAnsi"/>
              </w:rPr>
              <w:t>134</w:t>
            </w:r>
          </w:p>
        </w:tc>
        <w:tc>
          <w:tcPr>
            <w:tcW w:w="2254" w:type="dxa"/>
            <w:vAlign w:val="center"/>
          </w:tcPr>
          <w:p w14:paraId="592F2EB3" w14:textId="7498ECD5" w:rsidR="00A4766A" w:rsidRPr="00A321DA" w:rsidRDefault="00A4766A" w:rsidP="00B6421A">
            <w:pPr>
              <w:jc w:val="right"/>
              <w:rPr>
                <w:rFonts w:asciiTheme="minorHAnsi" w:hAnsiTheme="minorHAnsi" w:cstheme="minorHAnsi"/>
              </w:rPr>
            </w:pPr>
            <w:r w:rsidRPr="00A321DA">
              <w:rPr>
                <w:rFonts w:asciiTheme="minorHAnsi" w:hAnsiTheme="minorHAnsi" w:cstheme="minorHAnsi"/>
              </w:rPr>
              <w:t>£</w:t>
            </w:r>
            <w:r w:rsidR="00B6421A" w:rsidRPr="00A321DA">
              <w:rPr>
                <w:rFonts w:asciiTheme="minorHAnsi" w:hAnsiTheme="minorHAnsi" w:cstheme="minorHAnsi"/>
              </w:rPr>
              <w:t>7</w:t>
            </w:r>
            <w:r w:rsidR="0059575F" w:rsidRPr="00A321DA">
              <w:rPr>
                <w:rFonts w:asciiTheme="minorHAnsi" w:hAnsiTheme="minorHAnsi" w:cstheme="minorHAnsi"/>
              </w:rPr>
              <w:t>6</w:t>
            </w:r>
            <w:r w:rsidR="00B6421A" w:rsidRPr="00A321DA">
              <w:rPr>
                <w:rFonts w:asciiTheme="minorHAnsi" w:hAnsiTheme="minorHAnsi" w:cstheme="minorHAnsi"/>
              </w:rPr>
              <w:t>,</w:t>
            </w:r>
            <w:r w:rsidR="00A321DA" w:rsidRPr="00A321DA">
              <w:rPr>
                <w:rFonts w:asciiTheme="minorHAnsi" w:hAnsiTheme="minorHAnsi" w:cstheme="minorHAnsi"/>
              </w:rPr>
              <w:t>724</w:t>
            </w:r>
          </w:p>
        </w:tc>
        <w:tc>
          <w:tcPr>
            <w:tcW w:w="2731" w:type="dxa"/>
            <w:vAlign w:val="center"/>
          </w:tcPr>
          <w:p w14:paraId="021F7EBE" w14:textId="09C7D3E4" w:rsidR="00A4766A" w:rsidRPr="00A321DA" w:rsidRDefault="00A4766A" w:rsidP="00B6421A">
            <w:pPr>
              <w:jc w:val="right"/>
              <w:rPr>
                <w:rFonts w:asciiTheme="minorHAnsi" w:hAnsiTheme="minorHAnsi" w:cstheme="minorHAnsi"/>
              </w:rPr>
            </w:pPr>
            <w:r w:rsidRPr="00A321DA">
              <w:rPr>
                <w:rFonts w:asciiTheme="minorHAnsi" w:hAnsiTheme="minorHAnsi" w:cstheme="minorHAnsi"/>
              </w:rPr>
              <w:t>£</w:t>
            </w:r>
            <w:r w:rsidR="00A321DA" w:rsidRPr="00A321DA">
              <w:rPr>
                <w:rFonts w:asciiTheme="minorHAnsi" w:hAnsiTheme="minorHAnsi" w:cstheme="minorHAnsi"/>
              </w:rPr>
              <w:t>4</w:t>
            </w:r>
            <w:r w:rsidR="00B6421A" w:rsidRPr="00A321DA">
              <w:rPr>
                <w:rFonts w:asciiTheme="minorHAnsi" w:hAnsiTheme="minorHAnsi" w:cstheme="minorHAnsi"/>
              </w:rPr>
              <w:t>,</w:t>
            </w:r>
            <w:r w:rsidR="00A321DA" w:rsidRPr="00A321DA">
              <w:rPr>
                <w:rFonts w:asciiTheme="minorHAnsi" w:hAnsiTheme="minorHAnsi" w:cstheme="minorHAnsi"/>
              </w:rPr>
              <w:t>066,372</w:t>
            </w:r>
          </w:p>
        </w:tc>
      </w:tr>
    </w:tbl>
    <w:p w14:paraId="32158C1B" w14:textId="77777777" w:rsidR="00A4766A" w:rsidRPr="003E6503" w:rsidRDefault="00A4766A" w:rsidP="00A4766A"/>
    <w:p w14:paraId="7682B8ED" w14:textId="16908DF7" w:rsidR="006A45E5" w:rsidRPr="003E6503" w:rsidRDefault="006A45E5" w:rsidP="009C60DB">
      <w:pPr>
        <w:pStyle w:val="paragraph"/>
        <w:spacing w:before="0" w:beforeAutospacing="0" w:after="0" w:afterAutospacing="0"/>
        <w:ind w:left="720" w:hanging="720"/>
        <w:textAlignment w:val="baseline"/>
        <w:rPr>
          <w:rStyle w:val="eop"/>
          <w:rFonts w:ascii="Arial" w:hAnsi="Arial" w:cs="Arial"/>
          <w:b/>
          <w:color w:val="000000"/>
        </w:rPr>
      </w:pPr>
      <w:r w:rsidRPr="003E6503">
        <w:rPr>
          <w:rStyle w:val="normaltextrun"/>
          <w:rFonts w:ascii="Arial" w:hAnsi="Arial" w:cs="Arial"/>
          <w:b/>
          <w:color w:val="000000"/>
        </w:rPr>
        <w:t>Rent Flexibility</w:t>
      </w:r>
      <w:r w:rsidRPr="003E6503">
        <w:rPr>
          <w:rStyle w:val="eop"/>
          <w:rFonts w:ascii="Arial" w:hAnsi="Arial" w:cs="Arial"/>
          <w:b/>
          <w:color w:val="000000"/>
        </w:rPr>
        <w:t> </w:t>
      </w:r>
    </w:p>
    <w:p w14:paraId="341DEAA0" w14:textId="77777777" w:rsidR="009C60DB" w:rsidRPr="003E6503" w:rsidRDefault="009C60DB" w:rsidP="009C60DB">
      <w:pPr>
        <w:pStyle w:val="paragraph"/>
        <w:spacing w:before="0" w:beforeAutospacing="0" w:after="0" w:afterAutospacing="0"/>
        <w:ind w:left="720"/>
        <w:textAlignment w:val="baseline"/>
        <w:rPr>
          <w:rFonts w:ascii="Arial" w:hAnsi="Arial" w:cs="Arial"/>
          <w:color w:val="000000"/>
        </w:rPr>
      </w:pPr>
    </w:p>
    <w:p w14:paraId="78DBA368" w14:textId="77777777" w:rsidR="005B0941" w:rsidRPr="005B0941" w:rsidRDefault="01E5233B" w:rsidP="00F42D9C">
      <w:pPr>
        <w:pStyle w:val="ListParagraph"/>
        <w:numPr>
          <w:ilvl w:val="0"/>
          <w:numId w:val="1"/>
        </w:numPr>
        <w:ind w:left="426" w:hanging="426"/>
        <w:rPr>
          <w:rStyle w:val="normaltextrun"/>
          <w:rFonts w:cs="Arial"/>
          <w:color w:val="000000"/>
        </w:rPr>
      </w:pPr>
      <w:r>
        <w:t>Landlords are permitted under the regulations to set rents at levels above the social formula rents where it has taken local factors, market conditions and affordability into account. For general needs accommodation a 5% flexibility is allowable</w:t>
      </w:r>
      <w:r w:rsidR="371C5BEB">
        <w:t xml:space="preserve"> which the Council already applies to new build housing. </w:t>
      </w:r>
      <w:r>
        <w:t>For supported housing, such as sheltered schemes a 10% flexibility is allowable.</w:t>
      </w:r>
    </w:p>
    <w:p w14:paraId="412254E0" w14:textId="77777777" w:rsidR="005B0941" w:rsidRPr="005B0941" w:rsidRDefault="005B0941" w:rsidP="00104315">
      <w:pPr>
        <w:pStyle w:val="ListParagraph"/>
        <w:ind w:left="709" w:hanging="709"/>
        <w:rPr>
          <w:rStyle w:val="normaltextrun"/>
          <w:rFonts w:cs="Arial"/>
          <w:color w:val="000000"/>
        </w:rPr>
      </w:pPr>
    </w:p>
    <w:p w14:paraId="6110C6AE" w14:textId="683E8287" w:rsidR="006A45E5" w:rsidRPr="005B0941" w:rsidRDefault="01E5233B" w:rsidP="00F42D9C">
      <w:pPr>
        <w:pStyle w:val="ListParagraph"/>
        <w:numPr>
          <w:ilvl w:val="0"/>
          <w:numId w:val="1"/>
        </w:numPr>
        <w:ind w:left="426" w:hanging="426"/>
        <w:rPr>
          <w:rFonts w:cs="Arial"/>
          <w:color w:val="000000"/>
        </w:rPr>
      </w:pPr>
      <w:r w:rsidRPr="6F9FB908">
        <w:rPr>
          <w:rStyle w:val="normaltextrun"/>
          <w:rFonts w:cs="Arial"/>
          <w:color w:val="000000" w:themeColor="text1"/>
        </w:rPr>
        <w:t>Not all our rents are at a level equal to the formula rent for the property. Where a property becomes vacant and is going to be let to a new tenant, the formula rent for the property shall be set at 105% of formula for general needs accommodation and 110% of formula for all supported housing units.</w:t>
      </w:r>
      <w:r w:rsidRPr="6F9FB908">
        <w:rPr>
          <w:rStyle w:val="eop"/>
          <w:rFonts w:cs="Arial"/>
          <w:color w:val="000000" w:themeColor="text1"/>
        </w:rPr>
        <w:t> </w:t>
      </w:r>
    </w:p>
    <w:p w14:paraId="4DBC21FA" w14:textId="77777777" w:rsidR="006A45E5" w:rsidRPr="003E6503" w:rsidRDefault="006A45E5" w:rsidP="00104315">
      <w:pPr>
        <w:ind w:left="709" w:hanging="709"/>
      </w:pPr>
    </w:p>
    <w:p w14:paraId="7DAB70BC" w14:textId="664BF15C" w:rsidR="00DD2FE0" w:rsidRPr="00875869" w:rsidRDefault="00B6421A" w:rsidP="00F42D9C">
      <w:pPr>
        <w:pStyle w:val="ListParagraph"/>
        <w:numPr>
          <w:ilvl w:val="0"/>
          <w:numId w:val="1"/>
        </w:numPr>
        <w:ind w:left="426" w:hanging="426"/>
        <w:rPr>
          <w:rFonts w:cs="Arial"/>
        </w:rPr>
      </w:pPr>
      <w:r w:rsidRPr="6F9FB908">
        <w:rPr>
          <w:rFonts w:cs="Arial"/>
        </w:rPr>
        <w:t xml:space="preserve">For planning </w:t>
      </w:r>
      <w:r w:rsidR="009046B9" w:rsidRPr="6F9FB908">
        <w:rPr>
          <w:rFonts w:cs="Arial"/>
        </w:rPr>
        <w:t>purposes,</w:t>
      </w:r>
      <w:r w:rsidRPr="6F9FB908">
        <w:rPr>
          <w:rFonts w:cs="Arial"/>
        </w:rPr>
        <w:t xml:space="preserve"> the assumed rent increase for 202</w:t>
      </w:r>
      <w:r w:rsidR="00370C33" w:rsidRPr="6F9FB908">
        <w:rPr>
          <w:rFonts w:cs="Arial"/>
        </w:rPr>
        <w:t>5</w:t>
      </w:r>
      <w:r w:rsidRPr="6F9FB908">
        <w:rPr>
          <w:rFonts w:cs="Arial"/>
        </w:rPr>
        <w:t>-2</w:t>
      </w:r>
      <w:r w:rsidR="00370C33" w:rsidRPr="6F9FB908">
        <w:rPr>
          <w:rFonts w:cs="Arial"/>
        </w:rPr>
        <w:t>6</w:t>
      </w:r>
      <w:r w:rsidRPr="6F9FB908">
        <w:rPr>
          <w:rFonts w:cs="Arial"/>
        </w:rPr>
        <w:t xml:space="preserve"> is assumed to be </w:t>
      </w:r>
      <w:r w:rsidR="00370C33" w:rsidRPr="6F9FB908">
        <w:rPr>
          <w:rFonts w:cs="Arial"/>
        </w:rPr>
        <w:t>2</w:t>
      </w:r>
      <w:r w:rsidRPr="6F9FB908">
        <w:rPr>
          <w:rFonts w:cs="Arial"/>
        </w:rPr>
        <w:t xml:space="preserve">.7% with increases of </w:t>
      </w:r>
      <w:r w:rsidR="00651836" w:rsidRPr="6F9FB908">
        <w:rPr>
          <w:rFonts w:cs="Arial"/>
        </w:rPr>
        <w:t>2%</w:t>
      </w:r>
      <w:r w:rsidRPr="6F9FB908">
        <w:rPr>
          <w:rFonts w:cs="Arial"/>
        </w:rPr>
        <w:t xml:space="preserve"> assumed for future years. The impact on current rents of this increase is shown in Appendix 5.</w:t>
      </w:r>
      <w:r w:rsidR="00B519B5" w:rsidRPr="6F9FB908">
        <w:rPr>
          <w:rFonts w:cs="Arial"/>
        </w:rPr>
        <w:t xml:space="preserve"> </w:t>
      </w:r>
    </w:p>
    <w:p w14:paraId="2A2B3728" w14:textId="77777777" w:rsidR="006A45E5" w:rsidRPr="00B96FC0" w:rsidRDefault="006A45E5" w:rsidP="00104315">
      <w:pPr>
        <w:ind w:left="709" w:hanging="709"/>
        <w:rPr>
          <w:rFonts w:cs="Arial"/>
          <w:highlight w:val="yellow"/>
        </w:rPr>
      </w:pPr>
    </w:p>
    <w:p w14:paraId="62D5A80D" w14:textId="77777777" w:rsidR="004472CF" w:rsidRPr="00A70AEB" w:rsidRDefault="004472CF" w:rsidP="004472CF">
      <w:pPr>
        <w:pStyle w:val="ListParagraph"/>
        <w:ind w:left="709"/>
        <w:rPr>
          <w:rFonts w:cs="Arial"/>
          <w:b/>
        </w:rPr>
      </w:pPr>
      <w:r w:rsidRPr="00A70AEB">
        <w:rPr>
          <w:rFonts w:cs="Arial"/>
          <w:b/>
        </w:rPr>
        <w:t>Shared Ownership Dwellings</w:t>
      </w:r>
    </w:p>
    <w:p w14:paraId="032A16DE" w14:textId="77777777" w:rsidR="00CA041B" w:rsidRPr="00B96FC0" w:rsidRDefault="00CA041B" w:rsidP="00CA041B">
      <w:pPr>
        <w:pStyle w:val="ListParagraph"/>
        <w:rPr>
          <w:rFonts w:cs="Arial"/>
          <w:highlight w:val="yellow"/>
        </w:rPr>
      </w:pPr>
    </w:p>
    <w:p w14:paraId="6901D49D" w14:textId="39A9B3D1" w:rsidR="00DC0C96" w:rsidRPr="00F42D9C" w:rsidRDefault="00DC0C96" w:rsidP="00F42D9C">
      <w:pPr>
        <w:pStyle w:val="ListParagraph"/>
        <w:numPr>
          <w:ilvl w:val="0"/>
          <w:numId w:val="1"/>
        </w:numPr>
        <w:ind w:left="426" w:hanging="426"/>
        <w:rPr>
          <w:rFonts w:cs="Arial"/>
        </w:rPr>
      </w:pPr>
      <w:r w:rsidRPr="6F9FB908">
        <w:rPr>
          <w:rFonts w:cs="Arial"/>
        </w:rPr>
        <w:t>The rent increase for Shared Ownership will be CPI + 1% based on the CPI rate for the 12 months to the end of September 2024. This will only apply for shared ownership properties owned for the whole of the preceding 12 months (</w:t>
      </w:r>
      <w:proofErr w:type="gramStart"/>
      <w:r w:rsidR="008009B9" w:rsidRPr="6F9FB908">
        <w:rPr>
          <w:rFonts w:cs="Arial"/>
        </w:rPr>
        <w:t>i.e.</w:t>
      </w:r>
      <w:r w:rsidRPr="6F9FB908">
        <w:rPr>
          <w:rFonts w:cs="Arial"/>
        </w:rPr>
        <w:t>.</w:t>
      </w:r>
      <w:proofErr w:type="gramEnd"/>
      <w:r w:rsidRPr="6F9FB908">
        <w:rPr>
          <w:rFonts w:cs="Arial"/>
        </w:rPr>
        <w:t xml:space="preserve"> before 1st October 2023). For properties purchased after the </w:t>
      </w:r>
      <w:proofErr w:type="gramStart"/>
      <w:r w:rsidRPr="6F9FB908">
        <w:rPr>
          <w:rFonts w:cs="Arial"/>
        </w:rPr>
        <w:t>30th</w:t>
      </w:r>
      <w:proofErr w:type="gramEnd"/>
      <w:r w:rsidRPr="6F9FB908">
        <w:rPr>
          <w:rFonts w:cs="Arial"/>
        </w:rPr>
        <w:t xml:space="preserve"> September 2023 the </w:t>
      </w:r>
      <w:r w:rsidRPr="00F42D9C">
        <w:rPr>
          <w:rFonts w:cs="Arial"/>
        </w:rPr>
        <w:t>increase for 2025/26 will be 0.5%.</w:t>
      </w:r>
    </w:p>
    <w:p w14:paraId="0C18CDFE" w14:textId="77777777" w:rsidR="00A605BA" w:rsidRPr="00F42D9C" w:rsidRDefault="00A605BA" w:rsidP="00104315">
      <w:pPr>
        <w:ind w:left="709" w:hanging="709"/>
        <w:rPr>
          <w:rFonts w:cs="Arial"/>
        </w:rPr>
      </w:pPr>
    </w:p>
    <w:p w14:paraId="52D555F4" w14:textId="5C140E10" w:rsidR="00493F14" w:rsidRPr="00875869" w:rsidRDefault="00DC0C96" w:rsidP="00F42D9C">
      <w:pPr>
        <w:pStyle w:val="ListParagraph"/>
        <w:numPr>
          <w:ilvl w:val="0"/>
          <w:numId w:val="1"/>
        </w:numPr>
        <w:ind w:left="426" w:hanging="426"/>
        <w:rPr>
          <w:rFonts w:cs="Arial"/>
          <w:highlight w:val="yellow"/>
        </w:rPr>
      </w:pPr>
      <w:r w:rsidRPr="00F42D9C">
        <w:rPr>
          <w:rFonts w:cs="Arial"/>
        </w:rPr>
        <w:t>The rent rise included in the Consultation Budget under these agreements is effectively</w:t>
      </w:r>
      <w:r w:rsidRPr="6F9FB908">
        <w:rPr>
          <w:rFonts w:cs="Arial"/>
        </w:rPr>
        <w:t xml:space="preserve"> an increase of 0.5% for properties less than 12 months old (as </w:t>
      </w:r>
      <w:proofErr w:type="gramStart"/>
      <w:r w:rsidRPr="6F9FB908">
        <w:rPr>
          <w:rFonts w:cs="Arial"/>
        </w:rPr>
        <w:t>at</w:t>
      </w:r>
      <w:proofErr w:type="gramEnd"/>
      <w:r w:rsidRPr="6F9FB908">
        <w:rPr>
          <w:rFonts w:cs="Arial"/>
        </w:rPr>
        <w:t xml:space="preserve"> 30th September 2024) of which the council currently has 8 such properties and CPI + 1% (2.7%) for older properties of which the council has 56 properties</w:t>
      </w:r>
    </w:p>
    <w:p w14:paraId="301069EF" w14:textId="77777777" w:rsidR="00A605BA" w:rsidRDefault="00A605BA" w:rsidP="002B7D72">
      <w:pPr>
        <w:autoSpaceDE w:val="0"/>
        <w:autoSpaceDN w:val="0"/>
        <w:adjustRightInd w:val="0"/>
        <w:ind w:left="709" w:right="380" w:hanging="709"/>
        <w:rPr>
          <w:rFonts w:cs="Arial"/>
          <w:b/>
          <w:highlight w:val="yellow"/>
        </w:rPr>
      </w:pPr>
    </w:p>
    <w:p w14:paraId="5D4F5D76" w14:textId="22D4945B" w:rsidR="00CB383F" w:rsidRPr="00B85A04" w:rsidRDefault="00A605BA" w:rsidP="002B7D72">
      <w:pPr>
        <w:autoSpaceDE w:val="0"/>
        <w:autoSpaceDN w:val="0"/>
        <w:adjustRightInd w:val="0"/>
        <w:ind w:left="709" w:right="380" w:hanging="709"/>
        <w:rPr>
          <w:rFonts w:cs="Arial"/>
          <w:b/>
        </w:rPr>
      </w:pPr>
      <w:r w:rsidRPr="00B85A04">
        <w:rPr>
          <w:rFonts w:cs="Arial"/>
          <w:b/>
        </w:rPr>
        <w:t>R</w:t>
      </w:r>
      <w:r w:rsidR="00776FF8" w:rsidRPr="00B85A04">
        <w:rPr>
          <w:rFonts w:cs="Arial"/>
          <w:b/>
        </w:rPr>
        <w:t xml:space="preserve">ight </w:t>
      </w:r>
      <w:r w:rsidR="00F66C46" w:rsidRPr="00B85A04">
        <w:rPr>
          <w:rFonts w:cs="Arial"/>
          <w:b/>
        </w:rPr>
        <w:t>to</w:t>
      </w:r>
      <w:r w:rsidR="00776FF8" w:rsidRPr="00B85A04">
        <w:rPr>
          <w:rFonts w:cs="Arial"/>
          <w:b/>
        </w:rPr>
        <w:t xml:space="preserve"> Buy</w:t>
      </w:r>
      <w:r w:rsidR="00164388" w:rsidRPr="00B85A04">
        <w:rPr>
          <w:rFonts w:cs="Arial"/>
          <w:b/>
        </w:rPr>
        <w:t xml:space="preserve"> and other disposals</w:t>
      </w:r>
    </w:p>
    <w:p w14:paraId="48C16051" w14:textId="77777777" w:rsidR="002B7D72" w:rsidRPr="00B85A04" w:rsidRDefault="002B7D72" w:rsidP="002B7D72">
      <w:pPr>
        <w:autoSpaceDE w:val="0"/>
        <w:autoSpaceDN w:val="0"/>
        <w:adjustRightInd w:val="0"/>
        <w:ind w:left="709" w:right="380" w:hanging="709"/>
        <w:rPr>
          <w:rFonts w:cs="Arial"/>
          <w:b/>
        </w:rPr>
      </w:pPr>
    </w:p>
    <w:p w14:paraId="4075C7E4" w14:textId="77777777" w:rsidR="00A71FEB" w:rsidRDefault="00ED2696" w:rsidP="00F42D9C">
      <w:pPr>
        <w:pStyle w:val="ListParagraph"/>
        <w:numPr>
          <w:ilvl w:val="0"/>
          <w:numId w:val="1"/>
        </w:numPr>
        <w:autoSpaceDE w:val="0"/>
        <w:autoSpaceDN w:val="0"/>
        <w:adjustRightInd w:val="0"/>
        <w:ind w:left="426" w:right="380" w:hanging="426"/>
        <w:rPr>
          <w:rFonts w:cs="Arial"/>
        </w:rPr>
      </w:pPr>
      <w:r w:rsidRPr="6F9FB908">
        <w:rPr>
          <w:rFonts w:cs="Arial"/>
        </w:rPr>
        <w:t>Disposal of around 20 dwellings per year is assumed from 202</w:t>
      </w:r>
      <w:r w:rsidR="006223A7" w:rsidRPr="6F9FB908">
        <w:rPr>
          <w:rFonts w:cs="Arial"/>
        </w:rPr>
        <w:t>5</w:t>
      </w:r>
      <w:r w:rsidRPr="6F9FB908">
        <w:rPr>
          <w:rFonts w:cs="Arial"/>
        </w:rPr>
        <w:t>-2</w:t>
      </w:r>
      <w:r w:rsidR="006223A7" w:rsidRPr="6F9FB908">
        <w:rPr>
          <w:rFonts w:cs="Arial"/>
        </w:rPr>
        <w:t>6</w:t>
      </w:r>
      <w:r w:rsidRPr="6F9FB908">
        <w:rPr>
          <w:rFonts w:cs="Arial"/>
        </w:rPr>
        <w:t xml:space="preserve"> onwards. Within the development programmes to be purchased from OX Place, there will be shared ownerships on most of the schemes. The Council will receive a capital receipt from the initial element purchased by the homeowner. There will also be additional capital receipts if the homeowners opt to make additional investment in the share of their home known as ‘stair casing’ enabling the homeowner to own a greater proportion of their home.</w:t>
      </w:r>
    </w:p>
    <w:p w14:paraId="7C266818" w14:textId="77777777" w:rsidR="00A71FEB" w:rsidRDefault="00A71FEB" w:rsidP="00104315">
      <w:pPr>
        <w:pStyle w:val="ListParagraph"/>
        <w:autoSpaceDE w:val="0"/>
        <w:autoSpaceDN w:val="0"/>
        <w:adjustRightInd w:val="0"/>
        <w:ind w:left="709" w:right="380" w:hanging="709"/>
        <w:rPr>
          <w:rFonts w:cs="Arial"/>
        </w:rPr>
      </w:pPr>
    </w:p>
    <w:p w14:paraId="6C1CDF80" w14:textId="7C29FAEA" w:rsidR="6844BB64" w:rsidRPr="00A71FEB" w:rsidRDefault="6844BB64" w:rsidP="00F42D9C">
      <w:pPr>
        <w:pStyle w:val="ListParagraph"/>
        <w:numPr>
          <w:ilvl w:val="0"/>
          <w:numId w:val="1"/>
        </w:numPr>
        <w:autoSpaceDE w:val="0"/>
        <w:autoSpaceDN w:val="0"/>
        <w:adjustRightInd w:val="0"/>
        <w:ind w:left="426" w:right="380" w:hanging="426"/>
        <w:rPr>
          <w:rFonts w:cs="Arial"/>
        </w:rPr>
      </w:pPr>
      <w:r w:rsidRPr="6F9FB908">
        <w:rPr>
          <w:rFonts w:cs="Arial"/>
        </w:rPr>
        <w:t xml:space="preserve">In the Chancellors Autumn Budget local authorities are now able to retain 100% of capital receipts, although the maximum discounts on Right </w:t>
      </w:r>
      <w:proofErr w:type="gramStart"/>
      <w:r w:rsidRPr="6F9FB908">
        <w:rPr>
          <w:rFonts w:cs="Arial"/>
        </w:rPr>
        <w:t>To</w:t>
      </w:r>
      <w:proofErr w:type="gramEnd"/>
      <w:r w:rsidRPr="6F9FB908">
        <w:rPr>
          <w:rFonts w:cs="Arial"/>
        </w:rPr>
        <w:t xml:space="preserve"> Buy housing applicatio</w:t>
      </w:r>
      <w:r w:rsidR="1F089DA9" w:rsidRPr="6F9FB908">
        <w:rPr>
          <w:rFonts w:cs="Arial"/>
        </w:rPr>
        <w:t>ns has been reduced. The decrease in the discount may well see the number of property disposals reducing which may counteract for the add</w:t>
      </w:r>
      <w:r w:rsidR="49AA4438" w:rsidRPr="6F9FB908">
        <w:rPr>
          <w:rFonts w:cs="Arial"/>
        </w:rPr>
        <w:t xml:space="preserve">itional freedom to retain 100% of the </w:t>
      </w:r>
      <w:r w:rsidR="6B3C63F8" w:rsidRPr="6F9FB908">
        <w:rPr>
          <w:rFonts w:cs="Arial"/>
        </w:rPr>
        <w:t>receipt</w:t>
      </w:r>
      <w:r w:rsidR="49AA4438" w:rsidRPr="6F9FB908">
        <w:rPr>
          <w:rFonts w:cs="Arial"/>
        </w:rPr>
        <w:t>,</w:t>
      </w:r>
      <w:r w:rsidRPr="6F9FB908">
        <w:rPr>
          <w:rFonts w:cs="Arial"/>
        </w:rPr>
        <w:t xml:space="preserve"> </w:t>
      </w:r>
    </w:p>
    <w:p w14:paraId="2D9DFDAB" w14:textId="77777777" w:rsidR="002B7D72" w:rsidRPr="00B96FC0" w:rsidRDefault="002B7D72" w:rsidP="002B7D72">
      <w:pPr>
        <w:pStyle w:val="ListParagraph"/>
        <w:autoSpaceDE w:val="0"/>
        <w:autoSpaceDN w:val="0"/>
        <w:adjustRightInd w:val="0"/>
        <w:ind w:right="380"/>
        <w:rPr>
          <w:rFonts w:cs="Arial"/>
          <w:highlight w:val="yellow"/>
        </w:rPr>
      </w:pPr>
    </w:p>
    <w:p w14:paraId="211953AD" w14:textId="77777777" w:rsidR="00CB383F" w:rsidRPr="00A70AEB" w:rsidRDefault="00CB383F" w:rsidP="002B7D72">
      <w:pPr>
        <w:autoSpaceDE w:val="0"/>
        <w:autoSpaceDN w:val="0"/>
        <w:adjustRightInd w:val="0"/>
        <w:ind w:left="709" w:right="380" w:hanging="709"/>
        <w:rPr>
          <w:rFonts w:cs="Arial"/>
          <w:b/>
        </w:rPr>
      </w:pPr>
      <w:r w:rsidRPr="00A70AEB">
        <w:rPr>
          <w:rFonts w:cs="Arial"/>
          <w:b/>
        </w:rPr>
        <w:t xml:space="preserve">Inflation and pay </w:t>
      </w:r>
      <w:proofErr w:type="gramStart"/>
      <w:r w:rsidRPr="00A70AEB">
        <w:rPr>
          <w:rFonts w:cs="Arial"/>
          <w:b/>
        </w:rPr>
        <w:t>assumptions</w:t>
      </w:r>
      <w:proofErr w:type="gramEnd"/>
    </w:p>
    <w:p w14:paraId="63ABE36B" w14:textId="77777777" w:rsidR="002B7D72" w:rsidRPr="00A70AEB" w:rsidRDefault="002B7D72" w:rsidP="002B7D72">
      <w:pPr>
        <w:autoSpaceDE w:val="0"/>
        <w:autoSpaceDN w:val="0"/>
        <w:adjustRightInd w:val="0"/>
        <w:ind w:left="709" w:right="380" w:hanging="709"/>
        <w:rPr>
          <w:rFonts w:cs="Arial"/>
          <w:b/>
        </w:rPr>
      </w:pPr>
    </w:p>
    <w:p w14:paraId="54407C53" w14:textId="0CD1416A" w:rsidR="00CB383F" w:rsidRPr="00A70AEB" w:rsidRDefault="008149C8" w:rsidP="00F42D9C">
      <w:pPr>
        <w:pStyle w:val="ListParagraph"/>
        <w:numPr>
          <w:ilvl w:val="0"/>
          <w:numId w:val="1"/>
        </w:numPr>
        <w:autoSpaceDE w:val="0"/>
        <w:autoSpaceDN w:val="0"/>
        <w:adjustRightInd w:val="0"/>
        <w:ind w:left="426" w:right="380" w:hanging="426"/>
        <w:jc w:val="both"/>
        <w:rPr>
          <w:rFonts w:cs="Arial"/>
        </w:rPr>
      </w:pPr>
      <w:r w:rsidRPr="6F9FB908">
        <w:rPr>
          <w:rFonts w:cs="Arial"/>
        </w:rPr>
        <w:t>A</w:t>
      </w:r>
      <w:r w:rsidR="00CB383F" w:rsidRPr="6F9FB908">
        <w:rPr>
          <w:rFonts w:cs="Arial"/>
        </w:rPr>
        <w:t xml:space="preserve">ll the assumptions for </w:t>
      </w:r>
      <w:r w:rsidR="007B0493" w:rsidRPr="6F9FB908">
        <w:rPr>
          <w:rFonts w:cs="Arial"/>
        </w:rPr>
        <w:t>i</w:t>
      </w:r>
      <w:r w:rsidR="00CB383F" w:rsidRPr="6F9FB908">
        <w:rPr>
          <w:rFonts w:cs="Arial"/>
        </w:rPr>
        <w:t xml:space="preserve">nflation are the same as for </w:t>
      </w:r>
      <w:r w:rsidRPr="6F9FB908">
        <w:rPr>
          <w:rFonts w:cs="Arial"/>
        </w:rPr>
        <w:t>t</w:t>
      </w:r>
      <w:r w:rsidR="00CB383F" w:rsidRPr="6F9FB908">
        <w:rPr>
          <w:rFonts w:cs="Arial"/>
        </w:rPr>
        <w:t>he Council’s General Fund.</w:t>
      </w:r>
      <w:r w:rsidR="001A7E58" w:rsidRPr="6F9FB908">
        <w:rPr>
          <w:rFonts w:cs="Arial"/>
        </w:rPr>
        <w:t xml:space="preserve"> </w:t>
      </w:r>
    </w:p>
    <w:p w14:paraId="48EE710A" w14:textId="77777777" w:rsidR="002B7D72" w:rsidRPr="00A70AEB" w:rsidRDefault="002B7D72" w:rsidP="00104315">
      <w:pPr>
        <w:autoSpaceDE w:val="0"/>
        <w:autoSpaceDN w:val="0"/>
        <w:adjustRightInd w:val="0"/>
        <w:ind w:left="709" w:right="380" w:hanging="709"/>
        <w:jc w:val="both"/>
        <w:rPr>
          <w:rFonts w:cs="Arial"/>
          <w:b/>
        </w:rPr>
      </w:pPr>
    </w:p>
    <w:p w14:paraId="7E737441" w14:textId="77777777" w:rsidR="002F4354" w:rsidRPr="00A70AEB" w:rsidRDefault="002F4354" w:rsidP="00104315">
      <w:pPr>
        <w:autoSpaceDE w:val="0"/>
        <w:autoSpaceDN w:val="0"/>
        <w:adjustRightInd w:val="0"/>
        <w:ind w:left="709" w:right="380" w:hanging="709"/>
        <w:jc w:val="both"/>
        <w:rPr>
          <w:rFonts w:cs="Arial"/>
          <w:b/>
        </w:rPr>
      </w:pPr>
      <w:r w:rsidRPr="00A70AEB">
        <w:rPr>
          <w:rFonts w:cs="Arial"/>
          <w:b/>
        </w:rPr>
        <w:t>Service Charges</w:t>
      </w:r>
    </w:p>
    <w:p w14:paraId="64FA72E8" w14:textId="7CF7E78D" w:rsidR="00163FA2" w:rsidRPr="00A70AEB" w:rsidRDefault="002F4354" w:rsidP="00F42D9C">
      <w:pPr>
        <w:pStyle w:val="ListParagraph"/>
        <w:numPr>
          <w:ilvl w:val="0"/>
          <w:numId w:val="1"/>
        </w:numPr>
        <w:autoSpaceDE w:val="0"/>
        <w:autoSpaceDN w:val="0"/>
        <w:adjustRightInd w:val="0"/>
        <w:ind w:left="426" w:right="380" w:hanging="426"/>
        <w:jc w:val="both"/>
        <w:rPr>
          <w:rFonts w:cs="Arial"/>
        </w:rPr>
      </w:pPr>
      <w:r w:rsidRPr="6F9FB908">
        <w:rPr>
          <w:rFonts w:cs="Arial"/>
        </w:rPr>
        <w:t xml:space="preserve">Service charges such as caretaking, cleaning, CCTV, communal areas etc. </w:t>
      </w:r>
      <w:r w:rsidR="00B50D68" w:rsidRPr="6F9FB908">
        <w:rPr>
          <w:rFonts w:cs="Arial"/>
        </w:rPr>
        <w:t xml:space="preserve">will be increased </w:t>
      </w:r>
      <w:r w:rsidR="00DB0017" w:rsidRPr="6F9FB908">
        <w:rPr>
          <w:rFonts w:cs="Arial"/>
        </w:rPr>
        <w:t xml:space="preserve">by </w:t>
      </w:r>
      <w:r w:rsidR="00C54225" w:rsidRPr="6F9FB908">
        <w:rPr>
          <w:rFonts w:cs="Arial"/>
        </w:rPr>
        <w:t xml:space="preserve">CPI +1% </w:t>
      </w:r>
      <w:r w:rsidR="004B38E1" w:rsidRPr="6F9FB908">
        <w:rPr>
          <w:rFonts w:cs="Arial"/>
        </w:rPr>
        <w:t>i.e.</w:t>
      </w:r>
      <w:r w:rsidR="006A45E5" w:rsidRPr="6F9FB908">
        <w:rPr>
          <w:rFonts w:cs="Arial"/>
        </w:rPr>
        <w:t xml:space="preserve"> </w:t>
      </w:r>
      <w:r w:rsidR="00A70AEB" w:rsidRPr="6F9FB908">
        <w:rPr>
          <w:rFonts w:cs="Arial"/>
        </w:rPr>
        <w:t>2</w:t>
      </w:r>
      <w:r w:rsidR="006A45E5" w:rsidRPr="6F9FB908">
        <w:rPr>
          <w:rFonts w:cs="Arial"/>
        </w:rPr>
        <w:t>.7% in line with the rental charge</w:t>
      </w:r>
      <w:r w:rsidR="00C54225" w:rsidRPr="6F9FB908">
        <w:rPr>
          <w:rFonts w:cs="Arial"/>
        </w:rPr>
        <w:t xml:space="preserve"> </w:t>
      </w:r>
      <w:r w:rsidR="00FC5169" w:rsidRPr="6F9FB908">
        <w:rPr>
          <w:rFonts w:cs="Arial"/>
        </w:rPr>
        <w:t>across all tenure types in the HRA.</w:t>
      </w:r>
      <w:r w:rsidR="00C54225" w:rsidRPr="6F9FB908">
        <w:rPr>
          <w:rFonts w:cs="Arial"/>
        </w:rPr>
        <w:t xml:space="preserve"> This increase will ensure that the income will cover the actual costs that have increased by RPI.</w:t>
      </w:r>
    </w:p>
    <w:p w14:paraId="77172903" w14:textId="77777777" w:rsidR="00FC5169" w:rsidRPr="00A70AEB" w:rsidRDefault="00FC5169" w:rsidP="00104315">
      <w:pPr>
        <w:pStyle w:val="ListParagraph"/>
        <w:autoSpaceDE w:val="0"/>
        <w:autoSpaceDN w:val="0"/>
        <w:adjustRightInd w:val="0"/>
        <w:ind w:left="709" w:right="380" w:hanging="709"/>
        <w:jc w:val="both"/>
        <w:rPr>
          <w:rFonts w:cs="Arial"/>
        </w:rPr>
      </w:pPr>
    </w:p>
    <w:p w14:paraId="4E8D4629" w14:textId="2432385B" w:rsidR="00FC5169" w:rsidRPr="00A70AEB" w:rsidRDefault="00FC5169" w:rsidP="00F42D9C">
      <w:pPr>
        <w:pStyle w:val="ListParagraph"/>
        <w:numPr>
          <w:ilvl w:val="0"/>
          <w:numId w:val="1"/>
        </w:numPr>
        <w:autoSpaceDE w:val="0"/>
        <w:autoSpaceDN w:val="0"/>
        <w:adjustRightInd w:val="0"/>
        <w:ind w:left="426" w:right="380" w:hanging="426"/>
        <w:jc w:val="both"/>
        <w:rPr>
          <w:rFonts w:cs="Arial"/>
        </w:rPr>
      </w:pPr>
      <w:r w:rsidRPr="6F9FB908">
        <w:rPr>
          <w:rFonts w:cs="Arial"/>
        </w:rPr>
        <w:t>The</w:t>
      </w:r>
      <w:r w:rsidR="00C54225" w:rsidRPr="6F9FB908">
        <w:rPr>
          <w:rFonts w:cs="Arial"/>
        </w:rPr>
        <w:t>re is no proposed increase to the</w:t>
      </w:r>
      <w:r w:rsidRPr="6F9FB908">
        <w:rPr>
          <w:rFonts w:cs="Arial"/>
        </w:rPr>
        <w:t xml:space="preserve"> Furnished Tenancy multiplier </w:t>
      </w:r>
      <w:r w:rsidR="00A00FF0" w:rsidRPr="6F9FB908">
        <w:rPr>
          <w:rFonts w:cs="Arial"/>
        </w:rPr>
        <w:t>in respect of charges to tenants who take up the offer of the provision of white goods and other fittings</w:t>
      </w:r>
      <w:r w:rsidR="00C54225" w:rsidRPr="6F9FB908">
        <w:rPr>
          <w:rFonts w:cs="Arial"/>
        </w:rPr>
        <w:t>. The current multiplier</w:t>
      </w:r>
      <w:r w:rsidR="00A00FF0" w:rsidRPr="6F9FB908">
        <w:rPr>
          <w:rFonts w:cs="Arial"/>
        </w:rPr>
        <w:t xml:space="preserve"> </w:t>
      </w:r>
      <w:r w:rsidR="00C54225" w:rsidRPr="6F9FB908">
        <w:rPr>
          <w:rFonts w:cs="Arial"/>
        </w:rPr>
        <w:t xml:space="preserve">of </w:t>
      </w:r>
      <w:r w:rsidR="00A00FF0" w:rsidRPr="6F9FB908">
        <w:rPr>
          <w:rFonts w:cs="Arial"/>
        </w:rPr>
        <w:t>1.5155</w:t>
      </w:r>
      <w:r w:rsidR="00092035" w:rsidRPr="6F9FB908">
        <w:rPr>
          <w:rFonts w:cs="Arial"/>
        </w:rPr>
        <w:t xml:space="preserve"> is </w:t>
      </w:r>
      <w:r w:rsidR="00C54225" w:rsidRPr="6F9FB908">
        <w:rPr>
          <w:rFonts w:cs="Arial"/>
        </w:rPr>
        <w:t>considered</w:t>
      </w:r>
      <w:r w:rsidR="00A00FF0" w:rsidRPr="6F9FB908">
        <w:rPr>
          <w:rFonts w:cs="Arial"/>
        </w:rPr>
        <w:t xml:space="preserve"> sufficient to cover the costs of running the scheme. </w:t>
      </w:r>
      <w:r w:rsidRPr="6F9FB908">
        <w:rPr>
          <w:rFonts w:cs="Arial"/>
        </w:rPr>
        <w:t xml:space="preserve"> </w:t>
      </w:r>
    </w:p>
    <w:p w14:paraId="1CC9664B" w14:textId="77777777" w:rsidR="002B7D72" w:rsidRPr="00B96FC0" w:rsidRDefault="002B7D72" w:rsidP="00875869">
      <w:pPr>
        <w:pStyle w:val="ListParagraph"/>
        <w:autoSpaceDE w:val="0"/>
        <w:autoSpaceDN w:val="0"/>
        <w:adjustRightInd w:val="0"/>
        <w:ind w:left="709" w:right="380" w:hanging="709"/>
        <w:jc w:val="both"/>
        <w:rPr>
          <w:rFonts w:cs="Arial"/>
          <w:highlight w:val="yellow"/>
        </w:rPr>
      </w:pPr>
    </w:p>
    <w:p w14:paraId="75660516" w14:textId="77777777" w:rsidR="00CB383F" w:rsidRPr="00A70AEB" w:rsidRDefault="00CB383F" w:rsidP="00875869">
      <w:pPr>
        <w:autoSpaceDE w:val="0"/>
        <w:autoSpaceDN w:val="0"/>
        <w:adjustRightInd w:val="0"/>
        <w:spacing w:after="120"/>
        <w:ind w:left="709" w:right="380" w:hanging="709"/>
        <w:jc w:val="both"/>
        <w:rPr>
          <w:rFonts w:cs="Arial"/>
        </w:rPr>
      </w:pPr>
      <w:r w:rsidRPr="00A70AEB">
        <w:rPr>
          <w:rFonts w:cs="Arial"/>
          <w:b/>
        </w:rPr>
        <w:t>Working Balance</w:t>
      </w:r>
    </w:p>
    <w:p w14:paraId="65DE25E2" w14:textId="77777777" w:rsidR="00CB383F" w:rsidRPr="00A70AEB" w:rsidRDefault="001F46D8" w:rsidP="00F42D9C">
      <w:pPr>
        <w:pStyle w:val="ListParagraph"/>
        <w:numPr>
          <w:ilvl w:val="0"/>
          <w:numId w:val="1"/>
        </w:numPr>
        <w:autoSpaceDE w:val="0"/>
        <w:autoSpaceDN w:val="0"/>
        <w:adjustRightInd w:val="0"/>
        <w:spacing w:after="120"/>
        <w:ind w:left="426" w:right="380" w:hanging="426"/>
        <w:jc w:val="both"/>
        <w:rPr>
          <w:rFonts w:cs="Arial"/>
          <w:b/>
          <w:bCs/>
        </w:rPr>
      </w:pPr>
      <w:r w:rsidRPr="00F42D9C">
        <w:rPr>
          <w:rFonts w:cs="Arial"/>
        </w:rPr>
        <w:t>T</w:t>
      </w:r>
      <w:r w:rsidR="00CB383F" w:rsidRPr="00F42D9C">
        <w:rPr>
          <w:rFonts w:cs="Arial"/>
        </w:rPr>
        <w:t>he working balance levels allow sufficient monies for the funding of future years</w:t>
      </w:r>
      <w:r w:rsidR="007B0493" w:rsidRPr="00F42D9C">
        <w:rPr>
          <w:rFonts w:cs="Arial"/>
        </w:rPr>
        <w:t>’</w:t>
      </w:r>
      <w:r w:rsidR="00CB383F" w:rsidRPr="00F42D9C">
        <w:rPr>
          <w:rFonts w:cs="Arial"/>
        </w:rPr>
        <w:t xml:space="preserve"> Capital</w:t>
      </w:r>
      <w:r w:rsidR="00CB383F" w:rsidRPr="6F9FB908">
        <w:rPr>
          <w:rFonts w:cs="Arial"/>
        </w:rPr>
        <w:t xml:space="preserve"> Programme</w:t>
      </w:r>
      <w:r w:rsidR="007B0493" w:rsidRPr="6F9FB908">
        <w:rPr>
          <w:rFonts w:cs="Arial"/>
        </w:rPr>
        <w:t>,</w:t>
      </w:r>
      <w:r w:rsidR="00CB383F" w:rsidRPr="6F9FB908">
        <w:rPr>
          <w:rFonts w:cs="Arial"/>
        </w:rPr>
        <w:t xml:space="preserve"> the repayment of the debt</w:t>
      </w:r>
      <w:r w:rsidR="007B0493" w:rsidRPr="6F9FB908">
        <w:rPr>
          <w:rFonts w:cs="Arial"/>
        </w:rPr>
        <w:t>,</w:t>
      </w:r>
      <w:r w:rsidR="008149C8" w:rsidRPr="6F9FB908">
        <w:rPr>
          <w:rFonts w:cs="Arial"/>
        </w:rPr>
        <w:t xml:space="preserve"> as well as a</w:t>
      </w:r>
      <w:r w:rsidR="00CB383F" w:rsidRPr="6F9FB908">
        <w:rPr>
          <w:rFonts w:cs="Arial"/>
        </w:rPr>
        <w:t>n amount of £</w:t>
      </w:r>
      <w:r w:rsidR="00EF2398" w:rsidRPr="6F9FB908">
        <w:rPr>
          <w:rFonts w:cs="Arial"/>
        </w:rPr>
        <w:t xml:space="preserve">3.5 </w:t>
      </w:r>
      <w:r w:rsidR="00CB383F" w:rsidRPr="6F9FB908">
        <w:rPr>
          <w:rFonts w:cs="Arial"/>
        </w:rPr>
        <w:t xml:space="preserve">million as being the minimum required to cover unexpected events such as falling investment income or increased costs. </w:t>
      </w:r>
    </w:p>
    <w:p w14:paraId="50CD113B" w14:textId="77777777" w:rsidR="007B2D91" w:rsidRPr="00B96FC0" w:rsidRDefault="007B2D91" w:rsidP="00EF2398">
      <w:pPr>
        <w:ind w:left="709" w:hanging="709"/>
        <w:contextualSpacing/>
        <w:rPr>
          <w:rFonts w:eastAsia="Calibri" w:cs="Arial"/>
          <w:b/>
          <w:highlight w:val="yellow"/>
        </w:rPr>
      </w:pPr>
    </w:p>
    <w:p w14:paraId="166049E9" w14:textId="77777777" w:rsidR="00CB383F" w:rsidRPr="00134F42" w:rsidRDefault="00AD7431" w:rsidP="00EF2398">
      <w:pPr>
        <w:ind w:left="709" w:hanging="709"/>
        <w:contextualSpacing/>
        <w:rPr>
          <w:rFonts w:eastAsia="Calibri" w:cs="Arial"/>
          <w:b/>
        </w:rPr>
      </w:pPr>
      <w:r w:rsidRPr="00134F42">
        <w:rPr>
          <w:rFonts w:eastAsia="Calibri" w:cs="Arial"/>
          <w:b/>
        </w:rPr>
        <w:lastRenderedPageBreak/>
        <w:t xml:space="preserve">Variations to Budget </w:t>
      </w:r>
    </w:p>
    <w:p w14:paraId="07003E53" w14:textId="77777777" w:rsidR="00784728" w:rsidRPr="00134F42" w:rsidRDefault="00784728" w:rsidP="00EF2398">
      <w:pPr>
        <w:ind w:left="709" w:hanging="709"/>
        <w:contextualSpacing/>
        <w:rPr>
          <w:rFonts w:eastAsia="Calibri" w:cs="Arial"/>
        </w:rPr>
      </w:pPr>
    </w:p>
    <w:p w14:paraId="2F639EFD" w14:textId="1610050C" w:rsidR="00AD7431" w:rsidRPr="00A71FEB" w:rsidRDefault="00AD7431" w:rsidP="00F42D9C">
      <w:pPr>
        <w:pStyle w:val="ListParagraph"/>
        <w:numPr>
          <w:ilvl w:val="0"/>
          <w:numId w:val="1"/>
        </w:numPr>
        <w:ind w:left="426" w:hanging="426"/>
        <w:contextualSpacing/>
        <w:rPr>
          <w:rFonts w:eastAsia="Calibri" w:cs="Arial"/>
        </w:rPr>
      </w:pPr>
      <w:r w:rsidRPr="6F9FB908">
        <w:rPr>
          <w:rFonts w:eastAsia="Calibri" w:cs="Arial"/>
        </w:rPr>
        <w:t>Variations to the HRA budget are shown in Appendix 3 with explanations shown below:</w:t>
      </w:r>
    </w:p>
    <w:p w14:paraId="3761CA28" w14:textId="77777777" w:rsidR="000C178A" w:rsidRPr="002921B4" w:rsidRDefault="000C178A" w:rsidP="00104315">
      <w:pPr>
        <w:ind w:left="709" w:hanging="709"/>
        <w:contextualSpacing/>
        <w:rPr>
          <w:rFonts w:eastAsia="Calibri" w:cs="Arial"/>
        </w:rPr>
      </w:pPr>
    </w:p>
    <w:p w14:paraId="4EF29405" w14:textId="77777777" w:rsidR="00400D9B" w:rsidRPr="002921B4" w:rsidRDefault="00400D9B" w:rsidP="00875869">
      <w:pPr>
        <w:pStyle w:val="NoSpacing"/>
        <w:ind w:left="709" w:hanging="709"/>
        <w:jc w:val="both"/>
        <w:rPr>
          <w:rFonts w:ascii="Arial" w:hAnsi="Arial" w:cs="Arial"/>
          <w:sz w:val="24"/>
          <w:szCs w:val="24"/>
        </w:rPr>
      </w:pPr>
    </w:p>
    <w:p w14:paraId="4B2550C4" w14:textId="77777777" w:rsidR="00400D9B" w:rsidRPr="002921B4" w:rsidRDefault="0070A02D" w:rsidP="00875869">
      <w:pPr>
        <w:pStyle w:val="NoSpacing"/>
        <w:ind w:left="709" w:hanging="709"/>
        <w:jc w:val="both"/>
        <w:rPr>
          <w:rFonts w:ascii="Arial" w:hAnsi="Arial" w:cs="Arial"/>
          <w:b/>
          <w:sz w:val="24"/>
          <w:szCs w:val="24"/>
        </w:rPr>
      </w:pPr>
      <w:r w:rsidRPr="60EA432F">
        <w:rPr>
          <w:rFonts w:ascii="Arial" w:hAnsi="Arial" w:cs="Arial"/>
          <w:b/>
          <w:bCs/>
          <w:sz w:val="24"/>
          <w:szCs w:val="24"/>
        </w:rPr>
        <w:t>Service Pressures</w:t>
      </w:r>
    </w:p>
    <w:p w14:paraId="117DE3D1" w14:textId="25DEC256" w:rsidR="7BDC0293" w:rsidRDefault="7BDC0293" w:rsidP="00F42D9C">
      <w:pPr>
        <w:pStyle w:val="NoSpacing"/>
        <w:numPr>
          <w:ilvl w:val="0"/>
          <w:numId w:val="1"/>
        </w:numPr>
        <w:ind w:left="426" w:hanging="426"/>
        <w:jc w:val="both"/>
        <w:rPr>
          <w:rFonts w:ascii="Arial" w:hAnsi="Arial" w:cs="Arial"/>
          <w:sz w:val="24"/>
          <w:szCs w:val="24"/>
        </w:rPr>
      </w:pPr>
      <w:r w:rsidRPr="6F9FB908">
        <w:rPr>
          <w:rFonts w:ascii="Arial" w:hAnsi="Arial" w:cs="Arial"/>
          <w:sz w:val="24"/>
          <w:szCs w:val="24"/>
        </w:rPr>
        <w:t xml:space="preserve">There are </w:t>
      </w:r>
      <w:proofErr w:type="gramStart"/>
      <w:r w:rsidRPr="6F9FB908">
        <w:rPr>
          <w:rFonts w:ascii="Arial" w:hAnsi="Arial" w:cs="Arial"/>
          <w:sz w:val="24"/>
          <w:szCs w:val="24"/>
        </w:rPr>
        <w:t>a number of</w:t>
      </w:r>
      <w:proofErr w:type="gramEnd"/>
      <w:r w:rsidRPr="6F9FB908">
        <w:rPr>
          <w:rFonts w:ascii="Arial" w:hAnsi="Arial" w:cs="Arial"/>
          <w:sz w:val="24"/>
          <w:szCs w:val="24"/>
        </w:rPr>
        <w:t xml:space="preserve"> service pressures which the council need to budget for and have been included in the HRA, the most significant of these are:</w:t>
      </w:r>
    </w:p>
    <w:p w14:paraId="4EDE942E" w14:textId="6A08C4D1" w:rsidR="60EA432F" w:rsidRDefault="60EA432F" w:rsidP="00104315">
      <w:pPr>
        <w:pStyle w:val="NoSpacing"/>
        <w:ind w:left="709" w:hanging="709"/>
        <w:jc w:val="both"/>
        <w:rPr>
          <w:rFonts w:ascii="Arial" w:hAnsi="Arial" w:cs="Arial"/>
          <w:b/>
          <w:bCs/>
          <w:sz w:val="24"/>
          <w:szCs w:val="24"/>
        </w:rPr>
      </w:pPr>
    </w:p>
    <w:p w14:paraId="01E4B07E" w14:textId="3BD99877" w:rsidR="00362E84" w:rsidRPr="00362E84" w:rsidRDefault="00362E84" w:rsidP="00104315">
      <w:pPr>
        <w:pStyle w:val="NoSpacing"/>
        <w:ind w:left="709" w:hanging="709"/>
        <w:jc w:val="both"/>
        <w:rPr>
          <w:rFonts w:ascii="Arial" w:hAnsi="Arial" w:cs="Arial"/>
          <w:sz w:val="24"/>
          <w:szCs w:val="24"/>
        </w:rPr>
      </w:pPr>
    </w:p>
    <w:p w14:paraId="62613657" w14:textId="13124B9B" w:rsidR="00362E84" w:rsidRPr="00120F1B" w:rsidRDefault="5680E8A3" w:rsidP="009046B9">
      <w:pPr>
        <w:pStyle w:val="NoSpacing"/>
        <w:numPr>
          <w:ilvl w:val="0"/>
          <w:numId w:val="31"/>
        </w:numPr>
        <w:ind w:left="1985" w:hanging="709"/>
        <w:jc w:val="both"/>
        <w:rPr>
          <w:rFonts w:ascii="Arial" w:hAnsi="Arial" w:cs="Arial"/>
          <w:sz w:val="24"/>
          <w:szCs w:val="24"/>
        </w:rPr>
      </w:pPr>
      <w:r w:rsidRPr="60EA432F">
        <w:rPr>
          <w:rFonts w:ascii="Arial" w:hAnsi="Arial" w:cs="Arial"/>
          <w:b/>
          <w:bCs/>
          <w:sz w:val="24"/>
          <w:szCs w:val="24"/>
        </w:rPr>
        <w:t>Realignment of Subscriptions - £35k</w:t>
      </w:r>
      <w:r w:rsidRPr="60EA432F">
        <w:rPr>
          <w:rFonts w:ascii="Arial" w:hAnsi="Arial" w:cs="Arial"/>
          <w:sz w:val="24"/>
          <w:szCs w:val="24"/>
        </w:rPr>
        <w:t xml:space="preserve">. </w:t>
      </w:r>
      <w:r w:rsidR="5BA19962" w:rsidRPr="60EA432F">
        <w:rPr>
          <w:rFonts w:ascii="Arial" w:hAnsi="Arial" w:cs="Arial"/>
          <w:sz w:val="24"/>
          <w:szCs w:val="24"/>
        </w:rPr>
        <w:t xml:space="preserve">The increased activity of both the Regulator of Social Housing (RSH) and the Housing Ombudsman have led to both increasing their statutory subscriptions that landlords must pay. General subscriptions within the landlord function have remained. The RSH increase was covered in the 2024/25 budget round however the Housing Ombudsman increase was not. In addition, professional subscriptions to the Chartered Institute of Housing have also increased as more staff have become qualified members. There is also an increase of £4k for </w:t>
      </w:r>
      <w:proofErr w:type="spellStart"/>
      <w:r w:rsidR="5BA19962" w:rsidRPr="60EA432F">
        <w:rPr>
          <w:rFonts w:ascii="Arial" w:hAnsi="Arial" w:cs="Arial"/>
          <w:sz w:val="24"/>
          <w:szCs w:val="24"/>
        </w:rPr>
        <w:t>Housemark</w:t>
      </w:r>
      <w:proofErr w:type="spellEnd"/>
      <w:r w:rsidR="5BA19962" w:rsidRPr="60EA432F">
        <w:rPr>
          <w:rFonts w:ascii="Arial" w:hAnsi="Arial" w:cs="Arial"/>
          <w:sz w:val="24"/>
          <w:szCs w:val="24"/>
        </w:rPr>
        <w:t>.</w:t>
      </w:r>
    </w:p>
    <w:p w14:paraId="5B1916FC" w14:textId="77777777" w:rsidR="00C147C7" w:rsidRDefault="00C147C7" w:rsidP="00104315">
      <w:pPr>
        <w:pStyle w:val="NoSpacing"/>
        <w:ind w:left="1985" w:hanging="709"/>
        <w:jc w:val="both"/>
        <w:rPr>
          <w:rFonts w:ascii="Arial" w:hAnsi="Arial" w:cs="Arial"/>
          <w:sz w:val="24"/>
          <w:szCs w:val="24"/>
        </w:rPr>
      </w:pPr>
    </w:p>
    <w:p w14:paraId="1D1A4E08" w14:textId="54368A8B" w:rsidR="00362E84" w:rsidRPr="00120F1B" w:rsidRDefault="5BA19962" w:rsidP="009046B9">
      <w:pPr>
        <w:pStyle w:val="NoSpacing"/>
        <w:numPr>
          <w:ilvl w:val="0"/>
          <w:numId w:val="31"/>
        </w:numPr>
        <w:ind w:left="1985" w:hanging="709"/>
        <w:jc w:val="both"/>
        <w:rPr>
          <w:rFonts w:ascii="Arial" w:hAnsi="Arial" w:cs="Arial"/>
          <w:sz w:val="24"/>
          <w:szCs w:val="24"/>
        </w:rPr>
      </w:pPr>
      <w:r w:rsidRPr="6F9FB908">
        <w:rPr>
          <w:rFonts w:ascii="Arial" w:hAnsi="Arial" w:cs="Arial"/>
          <w:b/>
          <w:bCs/>
          <w:sz w:val="24"/>
          <w:szCs w:val="24"/>
        </w:rPr>
        <w:t>Damp, mould, disrepair, decants and the Housing Ombudsman - £160k</w:t>
      </w:r>
      <w:r w:rsidR="5680E8A3" w:rsidRPr="6F9FB908">
        <w:rPr>
          <w:rFonts w:ascii="Arial" w:hAnsi="Arial" w:cs="Arial"/>
          <w:sz w:val="24"/>
          <w:szCs w:val="24"/>
        </w:rPr>
        <w:t xml:space="preserve">. </w:t>
      </w:r>
      <w:r w:rsidRPr="6F9FB908">
        <w:rPr>
          <w:rFonts w:ascii="Arial" w:hAnsi="Arial" w:cs="Arial"/>
          <w:sz w:val="24"/>
          <w:szCs w:val="24"/>
        </w:rPr>
        <w:t xml:space="preserve">With more homes being identified with damp and mould and in </w:t>
      </w:r>
      <w:proofErr w:type="gramStart"/>
      <w:r w:rsidRPr="6F9FB908">
        <w:rPr>
          <w:rFonts w:ascii="Arial" w:hAnsi="Arial" w:cs="Arial"/>
          <w:sz w:val="24"/>
          <w:szCs w:val="24"/>
        </w:rPr>
        <w:t>a number of</w:t>
      </w:r>
      <w:proofErr w:type="gramEnd"/>
      <w:r w:rsidRPr="6F9FB908">
        <w:rPr>
          <w:rFonts w:ascii="Arial" w:hAnsi="Arial" w:cs="Arial"/>
          <w:sz w:val="24"/>
          <w:szCs w:val="24"/>
        </w:rPr>
        <w:t xml:space="preserve"> cases, alternative accommodation will need to be found for residents while work is carried out (£80k). There are also an increasing number of disrepair </w:t>
      </w:r>
      <w:r w:rsidR="00344269" w:rsidRPr="6F9FB908">
        <w:rPr>
          <w:rFonts w:ascii="Arial" w:hAnsi="Arial" w:cs="Arial"/>
          <w:sz w:val="24"/>
          <w:szCs w:val="24"/>
        </w:rPr>
        <w:t>cases attributable</w:t>
      </w:r>
      <w:r w:rsidRPr="6F9FB908">
        <w:rPr>
          <w:rFonts w:ascii="Arial" w:hAnsi="Arial" w:cs="Arial"/>
          <w:sz w:val="24"/>
          <w:szCs w:val="24"/>
        </w:rPr>
        <w:t xml:space="preserve"> not only to damp and mould, but also subsidence issues which are prevalent in many areas of the city (£80k)</w:t>
      </w:r>
    </w:p>
    <w:p w14:paraId="15303FAF" w14:textId="77777777" w:rsidR="00362E84" w:rsidRPr="00362E84" w:rsidRDefault="00362E84" w:rsidP="00104315">
      <w:pPr>
        <w:pStyle w:val="NoSpacing"/>
        <w:ind w:left="1985" w:hanging="709"/>
        <w:jc w:val="both"/>
        <w:rPr>
          <w:rFonts w:ascii="Arial" w:hAnsi="Arial" w:cs="Arial"/>
          <w:sz w:val="24"/>
          <w:szCs w:val="24"/>
        </w:rPr>
      </w:pPr>
    </w:p>
    <w:p w14:paraId="00808303" w14:textId="200FCEA3" w:rsidR="00362E84" w:rsidRPr="00A110EC" w:rsidRDefault="5BA19962" w:rsidP="009046B9">
      <w:pPr>
        <w:pStyle w:val="NoSpacing"/>
        <w:numPr>
          <w:ilvl w:val="0"/>
          <w:numId w:val="31"/>
        </w:numPr>
        <w:ind w:left="1985" w:hanging="284"/>
        <w:jc w:val="both"/>
        <w:rPr>
          <w:rFonts w:ascii="Arial" w:hAnsi="Arial" w:cs="Arial"/>
          <w:sz w:val="24"/>
          <w:szCs w:val="24"/>
        </w:rPr>
      </w:pPr>
      <w:r w:rsidRPr="6F9FB908">
        <w:rPr>
          <w:rFonts w:ascii="Arial" w:hAnsi="Arial" w:cs="Arial"/>
          <w:b/>
          <w:bCs/>
          <w:sz w:val="24"/>
          <w:szCs w:val="24"/>
        </w:rPr>
        <w:t>O</w:t>
      </w:r>
      <w:r w:rsidR="63B167D6" w:rsidRPr="6F9FB908">
        <w:rPr>
          <w:rFonts w:ascii="Arial" w:hAnsi="Arial" w:cs="Arial"/>
          <w:b/>
          <w:bCs/>
          <w:sz w:val="24"/>
          <w:szCs w:val="24"/>
        </w:rPr>
        <w:t xml:space="preserve">xford </w:t>
      </w:r>
      <w:r w:rsidRPr="6F9FB908">
        <w:rPr>
          <w:rFonts w:ascii="Arial" w:hAnsi="Arial" w:cs="Arial"/>
          <w:b/>
          <w:bCs/>
          <w:sz w:val="24"/>
          <w:szCs w:val="24"/>
        </w:rPr>
        <w:t>D</w:t>
      </w:r>
      <w:r w:rsidR="0EA6613F" w:rsidRPr="6F9FB908">
        <w:rPr>
          <w:rFonts w:ascii="Arial" w:hAnsi="Arial" w:cs="Arial"/>
          <w:b/>
          <w:bCs/>
          <w:sz w:val="24"/>
          <w:szCs w:val="24"/>
        </w:rPr>
        <w:t xml:space="preserve">irect </w:t>
      </w:r>
      <w:r w:rsidR="008009B9" w:rsidRPr="6F9FB908">
        <w:rPr>
          <w:rFonts w:ascii="Arial" w:hAnsi="Arial" w:cs="Arial"/>
          <w:b/>
          <w:bCs/>
          <w:sz w:val="24"/>
          <w:szCs w:val="24"/>
        </w:rPr>
        <w:t>Services</w:t>
      </w:r>
      <w:r w:rsidRPr="6F9FB908">
        <w:rPr>
          <w:rFonts w:ascii="Arial" w:hAnsi="Arial" w:cs="Arial"/>
          <w:b/>
          <w:bCs/>
          <w:sz w:val="24"/>
          <w:szCs w:val="24"/>
        </w:rPr>
        <w:t xml:space="preserve"> </w:t>
      </w:r>
      <w:r w:rsidR="05DA3C02" w:rsidRPr="6F9FB908">
        <w:rPr>
          <w:rFonts w:ascii="Arial" w:hAnsi="Arial" w:cs="Arial"/>
          <w:sz w:val="24"/>
          <w:szCs w:val="24"/>
        </w:rPr>
        <w:t xml:space="preserve">- </w:t>
      </w:r>
      <w:r w:rsidRPr="6F9FB908">
        <w:rPr>
          <w:rFonts w:ascii="Arial" w:hAnsi="Arial" w:cs="Arial"/>
          <w:sz w:val="24"/>
          <w:szCs w:val="24"/>
        </w:rPr>
        <w:t xml:space="preserve">While we have seen the clear benefits of the </w:t>
      </w:r>
      <w:proofErr w:type="spellStart"/>
      <w:r w:rsidRPr="6F9FB908">
        <w:rPr>
          <w:rFonts w:ascii="Arial" w:hAnsi="Arial" w:cs="Arial"/>
          <w:sz w:val="24"/>
          <w:szCs w:val="24"/>
        </w:rPr>
        <w:t>Localz</w:t>
      </w:r>
      <w:proofErr w:type="spellEnd"/>
      <w:r w:rsidRPr="6F9FB908">
        <w:rPr>
          <w:rFonts w:ascii="Arial" w:hAnsi="Arial" w:cs="Arial"/>
          <w:sz w:val="24"/>
          <w:szCs w:val="24"/>
        </w:rPr>
        <w:t xml:space="preserve"> system in operation, the annual maintenance charge and the cost of text messages also </w:t>
      </w:r>
      <w:proofErr w:type="gramStart"/>
      <w:r w:rsidRPr="6F9FB908">
        <w:rPr>
          <w:rFonts w:ascii="Arial" w:hAnsi="Arial" w:cs="Arial"/>
          <w:sz w:val="24"/>
          <w:szCs w:val="24"/>
        </w:rPr>
        <w:t>has to</w:t>
      </w:r>
      <w:proofErr w:type="gramEnd"/>
      <w:r w:rsidRPr="6F9FB908">
        <w:rPr>
          <w:rFonts w:ascii="Arial" w:hAnsi="Arial" w:cs="Arial"/>
          <w:sz w:val="24"/>
          <w:szCs w:val="24"/>
        </w:rPr>
        <w:t xml:space="preserve"> be paid for (£38k). An allowance also needs to be made for the potential re-setting of the parks activities on maintaining shrubs in housing areas (£40k one off)</w:t>
      </w:r>
      <w:r w:rsidR="65E51114" w:rsidRPr="6F9FB908">
        <w:rPr>
          <w:rFonts w:ascii="Arial" w:hAnsi="Arial" w:cs="Arial"/>
          <w:sz w:val="24"/>
          <w:szCs w:val="24"/>
        </w:rPr>
        <w:t>.</w:t>
      </w:r>
      <w:r w:rsidRPr="6F9FB908">
        <w:rPr>
          <w:rFonts w:ascii="Arial" w:hAnsi="Arial" w:cs="Arial"/>
          <w:sz w:val="24"/>
          <w:szCs w:val="24"/>
        </w:rPr>
        <w:t xml:space="preserve"> The HRA subsidises the treatment of bedbugs by the ODS Pest Control team so that there is no charge to tenants requesting treatment when contacting the Contact Centre. We have seen a rise in bedbug cases, including whole blocks becoming infested and we are proposing a further increase in the funding to deal with the problems</w:t>
      </w:r>
      <w:r w:rsidR="544A0E8A" w:rsidRPr="6F9FB908">
        <w:rPr>
          <w:rFonts w:ascii="Arial" w:hAnsi="Arial" w:cs="Arial"/>
          <w:sz w:val="24"/>
          <w:szCs w:val="24"/>
        </w:rPr>
        <w:t xml:space="preserve"> </w:t>
      </w:r>
      <w:r w:rsidRPr="6F9FB908">
        <w:rPr>
          <w:rFonts w:ascii="Arial" w:hAnsi="Arial" w:cs="Arial"/>
          <w:sz w:val="24"/>
          <w:szCs w:val="24"/>
        </w:rPr>
        <w:t>(£80k). There has also been an increase in the amount of contamination of recycled waste - residual waste and food waste being dumped in communal blue recycling bins. An extra residual crew must be sent out to collect these contaminated bins. (£50k pa)</w:t>
      </w:r>
    </w:p>
    <w:p w14:paraId="7377C02E" w14:textId="77777777" w:rsidR="00AF0DF7" w:rsidRDefault="00AF0DF7" w:rsidP="00AF0DF7">
      <w:pPr>
        <w:pStyle w:val="NoSpacing"/>
        <w:ind w:left="720"/>
        <w:jc w:val="both"/>
        <w:rPr>
          <w:rFonts w:ascii="Arial" w:hAnsi="Arial" w:cs="Arial"/>
          <w:sz w:val="24"/>
          <w:szCs w:val="24"/>
        </w:rPr>
      </w:pPr>
    </w:p>
    <w:p w14:paraId="33D1C8F8" w14:textId="1AF201FD" w:rsidR="00362E84" w:rsidRPr="00362E84" w:rsidRDefault="56AD120C" w:rsidP="009046B9">
      <w:pPr>
        <w:pStyle w:val="NoSpacing"/>
        <w:numPr>
          <w:ilvl w:val="0"/>
          <w:numId w:val="31"/>
        </w:numPr>
        <w:ind w:left="1985" w:hanging="425"/>
        <w:jc w:val="both"/>
        <w:rPr>
          <w:rFonts w:ascii="Arial" w:hAnsi="Arial" w:cs="Arial"/>
          <w:sz w:val="24"/>
          <w:szCs w:val="24"/>
        </w:rPr>
      </w:pPr>
      <w:r w:rsidRPr="60EA432F">
        <w:rPr>
          <w:rFonts w:ascii="Arial" w:hAnsi="Arial" w:cs="Arial"/>
          <w:b/>
          <w:bCs/>
          <w:sz w:val="24"/>
          <w:szCs w:val="24"/>
        </w:rPr>
        <w:t>Overheads and other administrative charges -</w:t>
      </w:r>
      <w:r w:rsidR="5BA19962" w:rsidRPr="60EA432F">
        <w:rPr>
          <w:rFonts w:ascii="Arial" w:hAnsi="Arial" w:cs="Arial"/>
          <w:sz w:val="24"/>
          <w:szCs w:val="24"/>
        </w:rPr>
        <w:t xml:space="preserve">There has been significant increases in overheads: Insurance premiums have risen £327k for the year, the demand on legal services has increased leading to a request for dedicated legal staff (£116k), the charge for the contact centre (£496k), </w:t>
      </w:r>
      <w:proofErr w:type="gramStart"/>
      <w:r w:rsidR="5BA19962" w:rsidRPr="60EA432F">
        <w:rPr>
          <w:rFonts w:ascii="Arial" w:hAnsi="Arial" w:cs="Arial"/>
          <w:sz w:val="24"/>
          <w:szCs w:val="24"/>
        </w:rPr>
        <w:t>and also</w:t>
      </w:r>
      <w:proofErr w:type="gramEnd"/>
      <w:r w:rsidR="5BA19962" w:rsidRPr="60EA432F">
        <w:rPr>
          <w:rFonts w:ascii="Arial" w:hAnsi="Arial" w:cs="Arial"/>
          <w:sz w:val="24"/>
          <w:szCs w:val="24"/>
        </w:rPr>
        <w:t xml:space="preserve"> the annual valuations (£73k)</w:t>
      </w:r>
    </w:p>
    <w:p w14:paraId="1217B108" w14:textId="77777777" w:rsidR="00362E84" w:rsidRPr="00362E84" w:rsidRDefault="00362E84" w:rsidP="00104315">
      <w:pPr>
        <w:pStyle w:val="NoSpacing"/>
        <w:ind w:left="1985" w:hanging="425"/>
        <w:jc w:val="both"/>
        <w:rPr>
          <w:rFonts w:ascii="Arial" w:hAnsi="Arial" w:cs="Arial"/>
          <w:sz w:val="24"/>
          <w:szCs w:val="24"/>
        </w:rPr>
      </w:pPr>
    </w:p>
    <w:p w14:paraId="79389D0E" w14:textId="293F389E" w:rsidR="00362E84" w:rsidRDefault="5BA19962" w:rsidP="009046B9">
      <w:pPr>
        <w:pStyle w:val="NoSpacing"/>
        <w:numPr>
          <w:ilvl w:val="0"/>
          <w:numId w:val="31"/>
        </w:numPr>
        <w:ind w:left="1985" w:hanging="425"/>
        <w:jc w:val="both"/>
        <w:rPr>
          <w:rFonts w:ascii="Arial" w:hAnsi="Arial" w:cs="Arial"/>
          <w:sz w:val="24"/>
          <w:szCs w:val="24"/>
        </w:rPr>
      </w:pPr>
      <w:r w:rsidRPr="60EA432F">
        <w:rPr>
          <w:rFonts w:ascii="Arial" w:hAnsi="Arial" w:cs="Arial"/>
          <w:b/>
          <w:bCs/>
          <w:sz w:val="24"/>
          <w:szCs w:val="24"/>
        </w:rPr>
        <w:t>Contingency for Regulatory Compliance and General Repairs &amp; Maintenance - £1,055k</w:t>
      </w:r>
      <w:r w:rsidR="35F01CAB" w:rsidRPr="60EA432F">
        <w:rPr>
          <w:rFonts w:ascii="Arial" w:hAnsi="Arial" w:cs="Arial"/>
          <w:b/>
          <w:bCs/>
          <w:sz w:val="24"/>
          <w:szCs w:val="24"/>
        </w:rPr>
        <w:t>.</w:t>
      </w:r>
      <w:r w:rsidR="35F01CAB" w:rsidRPr="60EA432F">
        <w:rPr>
          <w:rFonts w:ascii="Arial" w:hAnsi="Arial" w:cs="Arial"/>
          <w:sz w:val="24"/>
          <w:szCs w:val="24"/>
        </w:rPr>
        <w:t xml:space="preserve"> </w:t>
      </w:r>
      <w:r w:rsidRPr="60EA432F">
        <w:rPr>
          <w:rFonts w:ascii="Arial" w:hAnsi="Arial" w:cs="Arial"/>
          <w:sz w:val="24"/>
          <w:szCs w:val="24"/>
        </w:rPr>
        <w:t xml:space="preserve">Under the new regulations, there is an </w:t>
      </w:r>
      <w:r w:rsidRPr="60EA432F">
        <w:rPr>
          <w:rFonts w:ascii="Arial" w:hAnsi="Arial" w:cs="Arial"/>
          <w:sz w:val="24"/>
          <w:szCs w:val="24"/>
        </w:rPr>
        <w:lastRenderedPageBreak/>
        <w:t>increased focus on compliance and increased inspections. This line is a contingency for potential increases to existing costs such as Fire Door Inspections, Fire Risk Assessments, Fire Risk Remedial Works, Controlled Entry Maintenance, Fire Alarms &amp; Emergency Lighting (Test &amp; Inspect), Lightening Protection Servicing, Lift Maintenance &amp; Servicing, and Electric Vehicle Chargers Maintenance.</w:t>
      </w:r>
    </w:p>
    <w:p w14:paraId="55598241" w14:textId="77777777" w:rsidR="003518C8" w:rsidRDefault="003518C8" w:rsidP="00104315">
      <w:pPr>
        <w:pStyle w:val="ListParagraph"/>
        <w:ind w:left="1985" w:hanging="425"/>
        <w:rPr>
          <w:rFonts w:cs="Arial"/>
        </w:rPr>
      </w:pPr>
    </w:p>
    <w:p w14:paraId="2485ECF6" w14:textId="542D9F02" w:rsidR="00362E84" w:rsidRPr="003518C8" w:rsidRDefault="5BA19962" w:rsidP="009046B9">
      <w:pPr>
        <w:pStyle w:val="NoSpacing"/>
        <w:numPr>
          <w:ilvl w:val="0"/>
          <w:numId w:val="31"/>
        </w:numPr>
        <w:ind w:left="1985" w:hanging="425"/>
        <w:jc w:val="both"/>
        <w:rPr>
          <w:rFonts w:ascii="Arial" w:hAnsi="Arial" w:cs="Arial"/>
          <w:sz w:val="24"/>
          <w:szCs w:val="24"/>
        </w:rPr>
      </w:pPr>
      <w:r w:rsidRPr="60EA432F">
        <w:rPr>
          <w:rFonts w:ascii="Arial" w:hAnsi="Arial" w:cs="Arial"/>
          <w:sz w:val="24"/>
          <w:szCs w:val="24"/>
        </w:rPr>
        <w:t>I</w:t>
      </w:r>
      <w:r w:rsidRPr="60EA432F">
        <w:rPr>
          <w:rFonts w:ascii="Arial" w:hAnsi="Arial" w:cs="Arial"/>
          <w:b/>
          <w:bCs/>
          <w:sz w:val="24"/>
          <w:szCs w:val="24"/>
        </w:rPr>
        <w:t>nflation and contract cost increases - £332k</w:t>
      </w:r>
      <w:r w:rsidR="723C8410" w:rsidRPr="60EA432F">
        <w:rPr>
          <w:rFonts w:ascii="Arial" w:hAnsi="Arial" w:cs="Arial"/>
          <w:b/>
          <w:bCs/>
          <w:sz w:val="24"/>
          <w:szCs w:val="24"/>
        </w:rPr>
        <w:t xml:space="preserve">. </w:t>
      </w:r>
      <w:r w:rsidRPr="60EA432F">
        <w:rPr>
          <w:rFonts w:ascii="Arial" w:hAnsi="Arial" w:cs="Arial"/>
          <w:sz w:val="24"/>
          <w:szCs w:val="24"/>
        </w:rPr>
        <w:t>As in previous years, commercial energy costs continue to increase and a further 10% is expected to be added to the energy costs for Council owned flat blocks and void properties. An increase is also required to cover the increase in EV charges in new build schemes which, at least until there is sufficient demand, will need to be de-energised or maintained with a significant standing charge while being under-used.</w:t>
      </w:r>
    </w:p>
    <w:p w14:paraId="3F6B08A3" w14:textId="77777777" w:rsidR="00AF0DF7" w:rsidRDefault="00AF0DF7" w:rsidP="00104315">
      <w:pPr>
        <w:pStyle w:val="NoSpacing"/>
        <w:ind w:left="1985" w:hanging="425"/>
        <w:jc w:val="both"/>
        <w:rPr>
          <w:rFonts w:ascii="Arial" w:hAnsi="Arial" w:cs="Arial"/>
          <w:sz w:val="24"/>
          <w:szCs w:val="24"/>
        </w:rPr>
      </w:pPr>
    </w:p>
    <w:p w14:paraId="4594CADB" w14:textId="45894D65" w:rsidR="00362E84" w:rsidRPr="00C47F56" w:rsidRDefault="5BA19962" w:rsidP="009046B9">
      <w:pPr>
        <w:pStyle w:val="NoSpacing"/>
        <w:numPr>
          <w:ilvl w:val="0"/>
          <w:numId w:val="31"/>
        </w:numPr>
        <w:ind w:left="1985" w:hanging="425"/>
        <w:jc w:val="both"/>
        <w:rPr>
          <w:rFonts w:ascii="Arial" w:hAnsi="Arial" w:cs="Arial"/>
          <w:sz w:val="24"/>
          <w:szCs w:val="24"/>
        </w:rPr>
      </w:pPr>
      <w:r w:rsidRPr="60EA432F">
        <w:rPr>
          <w:rFonts w:ascii="Arial" w:hAnsi="Arial" w:cs="Arial"/>
          <w:b/>
          <w:bCs/>
          <w:sz w:val="24"/>
          <w:szCs w:val="24"/>
        </w:rPr>
        <w:t>Increase costs for CCTV connectivity</w:t>
      </w:r>
      <w:r w:rsidR="723C8410" w:rsidRPr="60EA432F">
        <w:rPr>
          <w:rFonts w:ascii="Arial" w:hAnsi="Arial" w:cs="Arial"/>
          <w:b/>
          <w:bCs/>
          <w:sz w:val="24"/>
          <w:szCs w:val="24"/>
        </w:rPr>
        <w:t>.</w:t>
      </w:r>
      <w:r w:rsidR="723C8410" w:rsidRPr="60EA432F">
        <w:rPr>
          <w:rFonts w:ascii="Arial" w:hAnsi="Arial" w:cs="Arial"/>
          <w:sz w:val="24"/>
          <w:szCs w:val="24"/>
        </w:rPr>
        <w:t xml:space="preserve"> </w:t>
      </w:r>
      <w:r w:rsidRPr="60EA432F">
        <w:rPr>
          <w:rFonts w:ascii="Arial" w:hAnsi="Arial" w:cs="Arial"/>
          <w:sz w:val="24"/>
          <w:szCs w:val="24"/>
        </w:rPr>
        <w:t xml:space="preserve">The costs of provision of the CCTV circuit lines provided by BT </w:t>
      </w:r>
      <w:proofErr w:type="gramStart"/>
      <w:r w:rsidRPr="60EA432F">
        <w:rPr>
          <w:rFonts w:ascii="Arial" w:hAnsi="Arial" w:cs="Arial"/>
          <w:sz w:val="24"/>
          <w:szCs w:val="24"/>
        </w:rPr>
        <w:t>is</w:t>
      </w:r>
      <w:proofErr w:type="gramEnd"/>
      <w:r w:rsidRPr="60EA432F">
        <w:rPr>
          <w:rFonts w:ascii="Arial" w:hAnsi="Arial" w:cs="Arial"/>
          <w:sz w:val="24"/>
          <w:szCs w:val="24"/>
        </w:rPr>
        <w:t xml:space="preserve"> increasing by £8,000 per year.</w:t>
      </w:r>
    </w:p>
    <w:p w14:paraId="48B036C6" w14:textId="77777777" w:rsidR="00AF0DF7" w:rsidRDefault="00AF0DF7" w:rsidP="00104315">
      <w:pPr>
        <w:pStyle w:val="NoSpacing"/>
        <w:ind w:left="1985" w:hanging="425"/>
        <w:jc w:val="both"/>
        <w:rPr>
          <w:rFonts w:ascii="Arial" w:hAnsi="Arial" w:cs="Arial"/>
          <w:sz w:val="24"/>
          <w:szCs w:val="24"/>
        </w:rPr>
      </w:pPr>
    </w:p>
    <w:p w14:paraId="71B3C31D" w14:textId="246FA62A" w:rsidR="00362E84" w:rsidRPr="003518C8" w:rsidRDefault="5BA19962" w:rsidP="009046B9">
      <w:pPr>
        <w:pStyle w:val="NoSpacing"/>
        <w:numPr>
          <w:ilvl w:val="0"/>
          <w:numId w:val="31"/>
        </w:numPr>
        <w:ind w:left="1985" w:hanging="425"/>
        <w:jc w:val="both"/>
        <w:rPr>
          <w:rFonts w:ascii="Arial" w:hAnsi="Arial" w:cs="Arial"/>
          <w:sz w:val="24"/>
          <w:szCs w:val="24"/>
        </w:rPr>
      </w:pPr>
      <w:r w:rsidRPr="60EA432F">
        <w:rPr>
          <w:rFonts w:ascii="Arial" w:hAnsi="Arial" w:cs="Arial"/>
          <w:b/>
          <w:bCs/>
          <w:sz w:val="24"/>
          <w:szCs w:val="24"/>
        </w:rPr>
        <w:t>Cost of New and Replacement Waste Bins</w:t>
      </w:r>
      <w:r w:rsidR="7634C879" w:rsidRPr="60EA432F">
        <w:rPr>
          <w:rFonts w:ascii="Arial" w:hAnsi="Arial" w:cs="Arial"/>
          <w:b/>
          <w:bCs/>
          <w:sz w:val="24"/>
          <w:szCs w:val="24"/>
        </w:rPr>
        <w:t>.</w:t>
      </w:r>
      <w:r w:rsidR="7634C879" w:rsidRPr="60EA432F">
        <w:rPr>
          <w:rFonts w:ascii="Arial" w:hAnsi="Arial" w:cs="Arial"/>
          <w:sz w:val="24"/>
          <w:szCs w:val="24"/>
        </w:rPr>
        <w:t xml:space="preserve"> </w:t>
      </w:r>
      <w:r w:rsidR="5DB5C7E3" w:rsidRPr="60EA432F">
        <w:rPr>
          <w:rFonts w:ascii="Arial" w:hAnsi="Arial" w:cs="Arial"/>
          <w:sz w:val="24"/>
          <w:szCs w:val="24"/>
        </w:rPr>
        <w:t xml:space="preserve">Last year the Council agreed to charge for </w:t>
      </w:r>
      <w:r w:rsidRPr="60EA432F">
        <w:rPr>
          <w:rFonts w:ascii="Arial" w:hAnsi="Arial" w:cs="Arial"/>
          <w:sz w:val="24"/>
          <w:szCs w:val="24"/>
        </w:rPr>
        <w:t xml:space="preserve">missing/replacement </w:t>
      </w:r>
      <w:r w:rsidR="3E387D52" w:rsidRPr="60EA432F">
        <w:rPr>
          <w:rFonts w:ascii="Arial" w:hAnsi="Arial" w:cs="Arial"/>
          <w:sz w:val="24"/>
          <w:szCs w:val="24"/>
        </w:rPr>
        <w:t xml:space="preserve">waste </w:t>
      </w:r>
      <w:r w:rsidRPr="60EA432F">
        <w:rPr>
          <w:rFonts w:ascii="Arial" w:hAnsi="Arial" w:cs="Arial"/>
          <w:sz w:val="24"/>
          <w:szCs w:val="24"/>
        </w:rPr>
        <w:t>bins. This also applies to voids and new builds. The cost per bin is £35 with each household having 2 bins. Using an estimate of 700 new builds / voids, and 100 households requiring both bins replacing, this equates to circa £56k per annum.</w:t>
      </w:r>
    </w:p>
    <w:p w14:paraId="3EA701D3" w14:textId="77777777" w:rsidR="00AF0DF7" w:rsidRDefault="00AF0DF7" w:rsidP="00104315">
      <w:pPr>
        <w:pStyle w:val="NoSpacing"/>
        <w:ind w:left="1985" w:hanging="425"/>
        <w:jc w:val="both"/>
        <w:rPr>
          <w:rFonts w:ascii="Arial" w:hAnsi="Arial" w:cs="Arial"/>
          <w:sz w:val="24"/>
          <w:szCs w:val="24"/>
        </w:rPr>
      </w:pPr>
    </w:p>
    <w:p w14:paraId="7091A575" w14:textId="2B322AF7" w:rsidR="00362E84" w:rsidRPr="003518C8" w:rsidRDefault="5BA19962" w:rsidP="009046B9">
      <w:pPr>
        <w:pStyle w:val="NoSpacing"/>
        <w:numPr>
          <w:ilvl w:val="0"/>
          <w:numId w:val="31"/>
        </w:numPr>
        <w:ind w:left="1985" w:hanging="425"/>
        <w:jc w:val="both"/>
        <w:rPr>
          <w:rFonts w:ascii="Arial" w:hAnsi="Arial" w:cs="Arial"/>
          <w:sz w:val="24"/>
          <w:szCs w:val="24"/>
        </w:rPr>
      </w:pPr>
      <w:r w:rsidRPr="60EA432F">
        <w:rPr>
          <w:rFonts w:ascii="Arial" w:hAnsi="Arial" w:cs="Arial"/>
          <w:b/>
          <w:bCs/>
          <w:sz w:val="24"/>
          <w:szCs w:val="24"/>
        </w:rPr>
        <w:t>Increase in Furnished Tenancy Take Up</w:t>
      </w:r>
      <w:r w:rsidR="74E5F396" w:rsidRPr="60EA432F">
        <w:rPr>
          <w:rFonts w:ascii="Arial" w:hAnsi="Arial" w:cs="Arial"/>
          <w:b/>
          <w:bCs/>
          <w:sz w:val="24"/>
          <w:szCs w:val="24"/>
        </w:rPr>
        <w:t>.</w:t>
      </w:r>
      <w:r w:rsidR="74E5F396" w:rsidRPr="60EA432F">
        <w:rPr>
          <w:rFonts w:ascii="Arial" w:hAnsi="Arial" w:cs="Arial"/>
          <w:sz w:val="24"/>
          <w:szCs w:val="24"/>
        </w:rPr>
        <w:t xml:space="preserve"> </w:t>
      </w:r>
      <w:r w:rsidRPr="60EA432F">
        <w:rPr>
          <w:rFonts w:ascii="Arial" w:hAnsi="Arial" w:cs="Arial"/>
          <w:sz w:val="24"/>
          <w:szCs w:val="24"/>
        </w:rPr>
        <w:t>The number of tenants that qualify for the furnished tenancy scheme has increased. The forecast take-up of the self-funding scheme shows that due to the forecast number of new builds, and an increase in the number of tenants qualifying for the furnished tenancy scheme there will be a pressure on this budget for the next few years which will be offset by an increase in the income generated from the furniture rentals.</w:t>
      </w:r>
    </w:p>
    <w:p w14:paraId="48D6228D" w14:textId="77777777" w:rsidR="006A45E5" w:rsidRPr="00B96FC0" w:rsidRDefault="006A45E5" w:rsidP="006A45E5">
      <w:pPr>
        <w:pStyle w:val="NoSpacing"/>
        <w:jc w:val="both"/>
        <w:rPr>
          <w:rFonts w:ascii="Arial" w:hAnsi="Arial" w:cs="Arial"/>
          <w:sz w:val="24"/>
          <w:szCs w:val="24"/>
          <w:highlight w:val="yellow"/>
        </w:rPr>
      </w:pPr>
    </w:p>
    <w:p w14:paraId="55552DC6" w14:textId="5D009D0F" w:rsidR="00CB1092" w:rsidRPr="0036428F" w:rsidRDefault="00CB1092" w:rsidP="002F1C48">
      <w:pPr>
        <w:tabs>
          <w:tab w:val="left" w:pos="630"/>
        </w:tabs>
        <w:autoSpaceDE w:val="0"/>
        <w:autoSpaceDN w:val="0"/>
        <w:adjustRightInd w:val="0"/>
        <w:jc w:val="both"/>
        <w:rPr>
          <w:rFonts w:cs="Arial"/>
          <w:b/>
        </w:rPr>
      </w:pPr>
      <w:r w:rsidRPr="0036428F">
        <w:rPr>
          <w:rFonts w:cs="Arial"/>
          <w:b/>
        </w:rPr>
        <w:t>Housing Revenue Account Budget 20</w:t>
      </w:r>
      <w:r w:rsidR="003B4C39" w:rsidRPr="0036428F">
        <w:rPr>
          <w:rFonts w:cs="Arial"/>
          <w:b/>
        </w:rPr>
        <w:t>2</w:t>
      </w:r>
      <w:r w:rsidR="0036428F" w:rsidRPr="0036428F">
        <w:rPr>
          <w:rFonts w:cs="Arial"/>
          <w:b/>
        </w:rPr>
        <w:t>5</w:t>
      </w:r>
      <w:r w:rsidRPr="0036428F">
        <w:rPr>
          <w:rFonts w:cs="Arial"/>
          <w:b/>
        </w:rPr>
        <w:t>/</w:t>
      </w:r>
      <w:r w:rsidR="00ED4FD0" w:rsidRPr="0036428F">
        <w:rPr>
          <w:rFonts w:cs="Arial"/>
          <w:b/>
        </w:rPr>
        <w:t>2</w:t>
      </w:r>
      <w:r w:rsidR="0036428F" w:rsidRPr="0036428F">
        <w:rPr>
          <w:rFonts w:cs="Arial"/>
          <w:b/>
        </w:rPr>
        <w:t>6</w:t>
      </w:r>
      <w:r w:rsidRPr="0036428F">
        <w:rPr>
          <w:rFonts w:cs="Arial"/>
          <w:b/>
        </w:rPr>
        <w:t xml:space="preserve"> to 20</w:t>
      </w:r>
      <w:r w:rsidR="00453999" w:rsidRPr="0036428F">
        <w:rPr>
          <w:rFonts w:cs="Arial"/>
          <w:b/>
        </w:rPr>
        <w:t>2</w:t>
      </w:r>
      <w:r w:rsidR="0036428F" w:rsidRPr="0036428F">
        <w:rPr>
          <w:rFonts w:cs="Arial"/>
          <w:b/>
        </w:rPr>
        <w:t>9</w:t>
      </w:r>
      <w:r w:rsidRPr="0036428F">
        <w:rPr>
          <w:rFonts w:cs="Arial"/>
          <w:b/>
        </w:rPr>
        <w:t>/</w:t>
      </w:r>
      <w:r w:rsidR="0036428F" w:rsidRPr="0036428F">
        <w:rPr>
          <w:rFonts w:cs="Arial"/>
          <w:b/>
        </w:rPr>
        <w:t>30</w:t>
      </w:r>
    </w:p>
    <w:p w14:paraId="3FC9DFAB" w14:textId="77777777" w:rsidR="00583D9F" w:rsidRPr="00493AA8" w:rsidRDefault="00583D9F" w:rsidP="002F1C48">
      <w:pPr>
        <w:autoSpaceDE w:val="0"/>
        <w:autoSpaceDN w:val="0"/>
        <w:adjustRightInd w:val="0"/>
        <w:ind w:left="567" w:right="380" w:hanging="567"/>
        <w:jc w:val="both"/>
        <w:rPr>
          <w:rFonts w:cs="Arial"/>
        </w:rPr>
      </w:pPr>
    </w:p>
    <w:p w14:paraId="3E967BB0" w14:textId="1C595113" w:rsidR="00D52114" w:rsidRPr="00493AA8" w:rsidRDefault="5046D4B1" w:rsidP="00F42D9C">
      <w:pPr>
        <w:pStyle w:val="ListParagraph"/>
        <w:numPr>
          <w:ilvl w:val="0"/>
          <w:numId w:val="1"/>
        </w:numPr>
        <w:autoSpaceDE w:val="0"/>
        <w:autoSpaceDN w:val="0"/>
        <w:adjustRightInd w:val="0"/>
        <w:ind w:left="426" w:right="380" w:hanging="426"/>
      </w:pPr>
      <w:r w:rsidRPr="6F9FB908">
        <w:rPr>
          <w:rFonts w:cs="Arial"/>
        </w:rPr>
        <w:t>A</w:t>
      </w:r>
      <w:r w:rsidR="0A93D33B" w:rsidRPr="6F9FB908">
        <w:rPr>
          <w:rFonts w:cs="Arial"/>
        </w:rPr>
        <w:t xml:space="preserve">ppendix </w:t>
      </w:r>
      <w:r w:rsidR="3157C9C7" w:rsidRPr="6F9FB908">
        <w:rPr>
          <w:rFonts w:cs="Arial"/>
        </w:rPr>
        <w:t>4</w:t>
      </w:r>
      <w:r w:rsidR="0A93D33B" w:rsidRPr="6F9FB908">
        <w:rPr>
          <w:rFonts w:cs="Arial"/>
        </w:rPr>
        <w:t xml:space="preserve"> details the HRA Budget for the period 20</w:t>
      </w:r>
      <w:r w:rsidR="7A5CB9A0" w:rsidRPr="6F9FB908">
        <w:rPr>
          <w:rFonts w:cs="Arial"/>
        </w:rPr>
        <w:t>2</w:t>
      </w:r>
      <w:r w:rsidR="0B0C421E" w:rsidRPr="6F9FB908">
        <w:rPr>
          <w:rFonts w:cs="Arial"/>
        </w:rPr>
        <w:t>5</w:t>
      </w:r>
      <w:r w:rsidR="0A93D33B" w:rsidRPr="6F9FB908">
        <w:rPr>
          <w:rFonts w:cs="Arial"/>
        </w:rPr>
        <w:t>/</w:t>
      </w:r>
      <w:r w:rsidR="5A86DBA6" w:rsidRPr="6F9FB908">
        <w:rPr>
          <w:rFonts w:cs="Arial"/>
        </w:rPr>
        <w:t>2</w:t>
      </w:r>
      <w:r w:rsidR="0B0C421E" w:rsidRPr="6F9FB908">
        <w:rPr>
          <w:rFonts w:cs="Arial"/>
        </w:rPr>
        <w:t>6</w:t>
      </w:r>
      <w:r w:rsidR="0A93D33B" w:rsidRPr="6F9FB908">
        <w:rPr>
          <w:rFonts w:cs="Arial"/>
        </w:rPr>
        <w:t xml:space="preserve"> to 20</w:t>
      </w:r>
      <w:r w:rsidR="0CC02499" w:rsidRPr="6F9FB908">
        <w:rPr>
          <w:rFonts w:cs="Arial"/>
        </w:rPr>
        <w:t>2</w:t>
      </w:r>
      <w:r w:rsidR="0B0C421E" w:rsidRPr="6F9FB908">
        <w:rPr>
          <w:rFonts w:cs="Arial"/>
        </w:rPr>
        <w:t>9</w:t>
      </w:r>
      <w:r w:rsidR="0A93D33B" w:rsidRPr="6F9FB908">
        <w:rPr>
          <w:rFonts w:cs="Arial"/>
        </w:rPr>
        <w:t>/</w:t>
      </w:r>
      <w:r w:rsidR="0B0C421E" w:rsidRPr="6F9FB908">
        <w:rPr>
          <w:rFonts w:cs="Arial"/>
        </w:rPr>
        <w:t>30</w:t>
      </w:r>
      <w:r w:rsidR="0A93D33B" w:rsidRPr="6F9FB908">
        <w:rPr>
          <w:rFonts w:cs="Arial"/>
        </w:rPr>
        <w:t xml:space="preserve"> </w:t>
      </w:r>
      <w:r w:rsidR="784E4A30" w:rsidRPr="6F9FB908">
        <w:rPr>
          <w:rFonts w:cs="Arial"/>
        </w:rPr>
        <w:t xml:space="preserve">which </w:t>
      </w:r>
      <w:r w:rsidR="0A93D33B" w:rsidRPr="6F9FB908">
        <w:rPr>
          <w:rFonts w:cs="Arial"/>
        </w:rPr>
        <w:t>is summarised below:</w:t>
      </w:r>
    </w:p>
    <w:p w14:paraId="0C619955" w14:textId="77777777" w:rsidR="00607E30" w:rsidRPr="00493AA8" w:rsidRDefault="00607E30" w:rsidP="00104315">
      <w:pPr>
        <w:pStyle w:val="ListParagraph"/>
        <w:autoSpaceDE w:val="0"/>
        <w:autoSpaceDN w:val="0"/>
        <w:adjustRightInd w:val="0"/>
        <w:ind w:left="709" w:right="380" w:hanging="709"/>
        <w:rPr>
          <w:rFonts w:cs="Arial"/>
        </w:rPr>
      </w:pPr>
    </w:p>
    <w:p w14:paraId="6A0E81CF" w14:textId="58C08309" w:rsidR="0087246B" w:rsidRPr="00493AA8" w:rsidRDefault="1A62B38A" w:rsidP="60EA432F">
      <w:pPr>
        <w:pStyle w:val="ListParagraph"/>
        <w:autoSpaceDE w:val="0"/>
        <w:autoSpaceDN w:val="0"/>
        <w:adjustRightInd w:val="0"/>
        <w:ind w:left="780" w:right="380"/>
        <w:rPr>
          <w:rFonts w:cs="Arial"/>
          <w:b/>
          <w:bCs/>
        </w:rPr>
      </w:pPr>
      <w:r w:rsidRPr="60EA432F">
        <w:rPr>
          <w:rFonts w:cs="Arial"/>
          <w:b/>
          <w:bCs/>
        </w:rPr>
        <w:t>Table 1</w:t>
      </w:r>
      <w:r w:rsidR="35FA292D" w:rsidRPr="60EA432F">
        <w:rPr>
          <w:rFonts w:cs="Arial"/>
          <w:b/>
          <w:bCs/>
        </w:rPr>
        <w:t>0</w:t>
      </w:r>
      <w:r w:rsidRPr="60EA432F">
        <w:rPr>
          <w:rFonts w:cs="Arial"/>
          <w:b/>
          <w:bCs/>
        </w:rPr>
        <w:t xml:space="preserve"> – Housing Revenue Account (HRA) 202</w:t>
      </w:r>
      <w:r w:rsidR="79EEE45E" w:rsidRPr="60EA432F">
        <w:rPr>
          <w:rFonts w:cs="Arial"/>
          <w:b/>
          <w:bCs/>
        </w:rPr>
        <w:t>5</w:t>
      </w:r>
      <w:r w:rsidRPr="60EA432F">
        <w:rPr>
          <w:rFonts w:cs="Arial"/>
          <w:b/>
          <w:bCs/>
        </w:rPr>
        <w:t>-2</w:t>
      </w:r>
      <w:r w:rsidR="79EEE45E" w:rsidRPr="60EA432F">
        <w:rPr>
          <w:rFonts w:cs="Arial"/>
          <w:b/>
          <w:bCs/>
        </w:rPr>
        <w:t>6</w:t>
      </w:r>
      <w:r w:rsidR="5C2BA450" w:rsidRPr="60EA432F">
        <w:rPr>
          <w:rFonts w:cs="Arial"/>
          <w:b/>
          <w:bCs/>
        </w:rPr>
        <w:t xml:space="preserve"> to</w:t>
      </w:r>
      <w:r w:rsidRPr="60EA432F">
        <w:rPr>
          <w:rFonts w:cs="Arial"/>
          <w:b/>
          <w:bCs/>
        </w:rPr>
        <w:t xml:space="preserve"> 202</w:t>
      </w:r>
      <w:r w:rsidR="79EEE45E" w:rsidRPr="60EA432F">
        <w:rPr>
          <w:rFonts w:cs="Arial"/>
          <w:b/>
          <w:bCs/>
        </w:rPr>
        <w:t>9</w:t>
      </w:r>
      <w:r w:rsidRPr="60EA432F">
        <w:rPr>
          <w:rFonts w:cs="Arial"/>
          <w:b/>
          <w:bCs/>
        </w:rPr>
        <w:t>-</w:t>
      </w:r>
      <w:r w:rsidR="79EEE45E" w:rsidRPr="60EA432F">
        <w:rPr>
          <w:rFonts w:cs="Arial"/>
          <w:b/>
          <w:bCs/>
        </w:rPr>
        <w:t>30</w:t>
      </w:r>
    </w:p>
    <w:p w14:paraId="6A54D356" w14:textId="77777777" w:rsidR="00092035" w:rsidRPr="00B96FC0" w:rsidRDefault="00092035" w:rsidP="00092035">
      <w:pPr>
        <w:autoSpaceDE w:val="0"/>
        <w:autoSpaceDN w:val="0"/>
        <w:adjustRightInd w:val="0"/>
        <w:ind w:right="380"/>
        <w:rPr>
          <w:rFonts w:cs="Arial"/>
          <w:b/>
          <w:highlight w:val="yellow"/>
        </w:rPr>
      </w:pPr>
    </w:p>
    <w:tbl>
      <w:tblPr>
        <w:tblW w:w="9116" w:type="dxa"/>
        <w:tblInd w:w="9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737"/>
        <w:gridCol w:w="1275"/>
        <w:gridCol w:w="1276"/>
        <w:gridCol w:w="1276"/>
        <w:gridCol w:w="1276"/>
        <w:gridCol w:w="1276"/>
      </w:tblGrid>
      <w:tr w:rsidR="00495E37" w:rsidRPr="00B96FC0" w14:paraId="5AEF98F8" w14:textId="26B9624A" w:rsidTr="00BB6761">
        <w:trPr>
          <w:trHeight w:val="300"/>
        </w:trPr>
        <w:tc>
          <w:tcPr>
            <w:tcW w:w="2737" w:type="dxa"/>
            <w:shd w:val="clear" w:color="auto" w:fill="auto"/>
            <w:noWrap/>
            <w:vAlign w:val="bottom"/>
            <w:hideMark/>
          </w:tcPr>
          <w:p w14:paraId="73072043" w14:textId="77777777" w:rsidR="00495E37" w:rsidRPr="001214BA" w:rsidRDefault="00495E37" w:rsidP="00495E37">
            <w:pPr>
              <w:rPr>
                <w:rFonts w:cs="Arial"/>
                <w:b/>
                <w:bCs/>
                <w:color w:val="000000"/>
                <w:sz w:val="22"/>
                <w:szCs w:val="22"/>
                <w:lang w:eastAsia="en-GB"/>
              </w:rPr>
            </w:pPr>
          </w:p>
        </w:tc>
        <w:tc>
          <w:tcPr>
            <w:tcW w:w="1275" w:type="dxa"/>
            <w:shd w:val="clear" w:color="auto" w:fill="auto"/>
            <w:noWrap/>
            <w:vAlign w:val="bottom"/>
            <w:hideMark/>
          </w:tcPr>
          <w:p w14:paraId="0438785A" w14:textId="77777777" w:rsidR="00495E37" w:rsidRPr="001214BA" w:rsidRDefault="00495E37" w:rsidP="00495E37">
            <w:pPr>
              <w:jc w:val="center"/>
              <w:rPr>
                <w:rFonts w:cs="Arial"/>
                <w:b/>
                <w:color w:val="000000"/>
                <w:sz w:val="22"/>
                <w:szCs w:val="22"/>
                <w:lang w:eastAsia="en-GB"/>
              </w:rPr>
            </w:pPr>
            <w:r w:rsidRPr="001214BA">
              <w:rPr>
                <w:rFonts w:cs="Arial"/>
                <w:b/>
                <w:color w:val="000000"/>
                <w:sz w:val="22"/>
                <w:szCs w:val="22"/>
                <w:lang w:eastAsia="en-GB"/>
              </w:rPr>
              <w:t>2025/26</w:t>
            </w:r>
          </w:p>
          <w:p w14:paraId="056DC34E" w14:textId="77777777" w:rsidR="00495E37" w:rsidRPr="001214BA" w:rsidRDefault="00495E37" w:rsidP="00495E37">
            <w:pPr>
              <w:jc w:val="center"/>
              <w:rPr>
                <w:rFonts w:cs="Arial"/>
                <w:color w:val="000000"/>
                <w:sz w:val="22"/>
                <w:szCs w:val="22"/>
                <w:lang w:eastAsia="en-GB"/>
              </w:rPr>
            </w:pPr>
            <w:r w:rsidRPr="001214BA">
              <w:rPr>
                <w:rFonts w:cs="Arial"/>
                <w:b/>
                <w:color w:val="000000"/>
                <w:sz w:val="22"/>
                <w:szCs w:val="22"/>
                <w:lang w:eastAsia="en-GB"/>
              </w:rPr>
              <w:t>£000’s</w:t>
            </w:r>
          </w:p>
        </w:tc>
        <w:tc>
          <w:tcPr>
            <w:tcW w:w="1276" w:type="dxa"/>
            <w:shd w:val="clear" w:color="auto" w:fill="auto"/>
            <w:noWrap/>
            <w:vAlign w:val="bottom"/>
            <w:hideMark/>
          </w:tcPr>
          <w:p w14:paraId="5EEA3A10" w14:textId="77777777" w:rsidR="00495E37" w:rsidRPr="001214BA" w:rsidRDefault="00495E37" w:rsidP="00495E37">
            <w:pPr>
              <w:jc w:val="center"/>
              <w:rPr>
                <w:rFonts w:cs="Arial"/>
                <w:b/>
                <w:color w:val="000000"/>
                <w:sz w:val="22"/>
                <w:szCs w:val="22"/>
                <w:lang w:eastAsia="en-GB"/>
              </w:rPr>
            </w:pPr>
            <w:r w:rsidRPr="001214BA">
              <w:rPr>
                <w:rFonts w:cs="Arial"/>
                <w:b/>
                <w:color w:val="000000"/>
                <w:sz w:val="22"/>
                <w:szCs w:val="22"/>
                <w:lang w:eastAsia="en-GB"/>
              </w:rPr>
              <w:t>2026/27</w:t>
            </w:r>
          </w:p>
          <w:p w14:paraId="5AC25087" w14:textId="77777777" w:rsidR="00495E37" w:rsidRPr="001214BA" w:rsidRDefault="00495E37" w:rsidP="00495E37">
            <w:pPr>
              <w:jc w:val="center"/>
              <w:rPr>
                <w:rFonts w:cs="Arial"/>
                <w:color w:val="000000"/>
                <w:sz w:val="22"/>
                <w:szCs w:val="22"/>
                <w:lang w:eastAsia="en-GB"/>
              </w:rPr>
            </w:pPr>
            <w:r w:rsidRPr="001214BA">
              <w:rPr>
                <w:rFonts w:cs="Arial"/>
                <w:b/>
                <w:color w:val="000000"/>
                <w:sz w:val="22"/>
                <w:szCs w:val="22"/>
                <w:lang w:eastAsia="en-GB"/>
              </w:rPr>
              <w:t>£000’s</w:t>
            </w:r>
          </w:p>
        </w:tc>
        <w:tc>
          <w:tcPr>
            <w:tcW w:w="1276" w:type="dxa"/>
            <w:shd w:val="clear" w:color="auto" w:fill="auto"/>
            <w:noWrap/>
            <w:vAlign w:val="bottom"/>
            <w:hideMark/>
          </w:tcPr>
          <w:p w14:paraId="6B982747" w14:textId="77777777" w:rsidR="00495E37" w:rsidRPr="001214BA" w:rsidRDefault="00495E37" w:rsidP="00495E37">
            <w:pPr>
              <w:jc w:val="center"/>
              <w:rPr>
                <w:rFonts w:cs="Arial"/>
                <w:b/>
                <w:color w:val="000000"/>
                <w:sz w:val="22"/>
                <w:szCs w:val="22"/>
                <w:lang w:eastAsia="en-GB"/>
              </w:rPr>
            </w:pPr>
            <w:r w:rsidRPr="001214BA">
              <w:rPr>
                <w:rFonts w:cs="Arial"/>
                <w:b/>
                <w:color w:val="000000"/>
                <w:sz w:val="22"/>
                <w:szCs w:val="22"/>
                <w:lang w:eastAsia="en-GB"/>
              </w:rPr>
              <w:t>2027/28</w:t>
            </w:r>
          </w:p>
          <w:p w14:paraId="4727BFA3" w14:textId="77777777" w:rsidR="00495E37" w:rsidRPr="001214BA" w:rsidRDefault="00495E37" w:rsidP="00495E37">
            <w:pPr>
              <w:jc w:val="center"/>
              <w:rPr>
                <w:rFonts w:cs="Arial"/>
                <w:color w:val="000000"/>
                <w:sz w:val="22"/>
                <w:szCs w:val="22"/>
                <w:lang w:eastAsia="en-GB"/>
              </w:rPr>
            </w:pPr>
            <w:r w:rsidRPr="001214BA">
              <w:rPr>
                <w:rFonts w:cs="Arial"/>
                <w:b/>
                <w:color w:val="000000"/>
                <w:sz w:val="22"/>
                <w:szCs w:val="22"/>
                <w:lang w:eastAsia="en-GB"/>
              </w:rPr>
              <w:t>£000’s</w:t>
            </w:r>
          </w:p>
        </w:tc>
        <w:tc>
          <w:tcPr>
            <w:tcW w:w="1276" w:type="dxa"/>
            <w:vAlign w:val="bottom"/>
          </w:tcPr>
          <w:p w14:paraId="78B14392" w14:textId="35E61CCE" w:rsidR="00495E37" w:rsidRPr="001214BA" w:rsidRDefault="00495E37" w:rsidP="00495E37">
            <w:pPr>
              <w:jc w:val="center"/>
              <w:rPr>
                <w:rFonts w:cs="Arial"/>
                <w:b/>
                <w:color w:val="000000"/>
                <w:sz w:val="22"/>
                <w:szCs w:val="22"/>
                <w:lang w:eastAsia="en-GB"/>
              </w:rPr>
            </w:pPr>
            <w:r w:rsidRPr="001214BA">
              <w:rPr>
                <w:rFonts w:cs="Arial"/>
                <w:b/>
                <w:color w:val="000000" w:themeColor="text1"/>
                <w:sz w:val="22"/>
                <w:szCs w:val="22"/>
                <w:lang w:eastAsia="en-GB"/>
              </w:rPr>
              <w:t>2028/29</w:t>
            </w:r>
          </w:p>
          <w:p w14:paraId="1A5E888A" w14:textId="1E3473B3" w:rsidR="00495E37" w:rsidRPr="001214BA" w:rsidRDefault="00495E37" w:rsidP="00495E37">
            <w:pPr>
              <w:jc w:val="center"/>
              <w:rPr>
                <w:rFonts w:cs="Arial"/>
                <w:b/>
                <w:color w:val="000000"/>
                <w:sz w:val="22"/>
                <w:szCs w:val="22"/>
                <w:lang w:eastAsia="en-GB"/>
              </w:rPr>
            </w:pPr>
            <w:r w:rsidRPr="001214BA">
              <w:rPr>
                <w:rFonts w:cs="Arial"/>
                <w:b/>
                <w:color w:val="000000" w:themeColor="text1"/>
                <w:sz w:val="22"/>
                <w:szCs w:val="22"/>
                <w:lang w:eastAsia="en-GB"/>
              </w:rPr>
              <w:t>£000’s</w:t>
            </w:r>
          </w:p>
        </w:tc>
        <w:tc>
          <w:tcPr>
            <w:tcW w:w="1276" w:type="dxa"/>
            <w:vAlign w:val="bottom"/>
          </w:tcPr>
          <w:p w14:paraId="3F951D6D" w14:textId="2F91B26B" w:rsidR="00495E37" w:rsidRPr="001214BA" w:rsidRDefault="00495E37" w:rsidP="00495E37">
            <w:pPr>
              <w:jc w:val="center"/>
              <w:rPr>
                <w:rFonts w:cs="Arial"/>
                <w:b/>
                <w:color w:val="000000"/>
                <w:sz w:val="22"/>
                <w:szCs w:val="22"/>
                <w:lang w:eastAsia="en-GB"/>
              </w:rPr>
            </w:pPr>
            <w:r w:rsidRPr="001214BA">
              <w:rPr>
                <w:rFonts w:cs="Arial"/>
                <w:b/>
                <w:color w:val="000000" w:themeColor="text1"/>
                <w:sz w:val="22"/>
                <w:szCs w:val="22"/>
                <w:lang w:eastAsia="en-GB"/>
              </w:rPr>
              <w:t>2029/30</w:t>
            </w:r>
          </w:p>
          <w:p w14:paraId="30FC69E8" w14:textId="361BCF13" w:rsidR="00495E37" w:rsidRPr="001214BA" w:rsidRDefault="00495E37" w:rsidP="00495E37">
            <w:pPr>
              <w:jc w:val="center"/>
              <w:rPr>
                <w:rFonts w:cs="Arial"/>
                <w:b/>
                <w:color w:val="000000"/>
                <w:sz w:val="22"/>
                <w:szCs w:val="22"/>
                <w:lang w:eastAsia="en-GB"/>
              </w:rPr>
            </w:pPr>
            <w:r w:rsidRPr="001214BA">
              <w:rPr>
                <w:rFonts w:cs="Arial"/>
                <w:b/>
                <w:color w:val="000000" w:themeColor="text1"/>
                <w:sz w:val="22"/>
                <w:szCs w:val="22"/>
                <w:lang w:eastAsia="en-GB"/>
              </w:rPr>
              <w:t>£000’s</w:t>
            </w:r>
          </w:p>
        </w:tc>
      </w:tr>
      <w:tr w:rsidR="00495E37" w:rsidRPr="00B96FC0" w14:paraId="2A30E08C" w14:textId="75664066" w:rsidTr="00BB6761">
        <w:trPr>
          <w:trHeight w:val="300"/>
        </w:trPr>
        <w:tc>
          <w:tcPr>
            <w:tcW w:w="2737" w:type="dxa"/>
            <w:shd w:val="clear" w:color="auto" w:fill="auto"/>
            <w:noWrap/>
            <w:vAlign w:val="bottom"/>
            <w:hideMark/>
          </w:tcPr>
          <w:p w14:paraId="34CC4A3F" w14:textId="77777777" w:rsidR="00495E37" w:rsidRPr="00B96FC0" w:rsidRDefault="00495E37" w:rsidP="00495E37">
            <w:pPr>
              <w:rPr>
                <w:rFonts w:cs="Arial"/>
                <w:b/>
                <w:bCs/>
                <w:color w:val="000000"/>
                <w:sz w:val="22"/>
                <w:szCs w:val="22"/>
                <w:highlight w:val="yellow"/>
                <w:lang w:eastAsia="en-GB"/>
              </w:rPr>
            </w:pPr>
          </w:p>
        </w:tc>
        <w:tc>
          <w:tcPr>
            <w:tcW w:w="1275" w:type="dxa"/>
            <w:shd w:val="clear" w:color="auto" w:fill="auto"/>
            <w:noWrap/>
            <w:vAlign w:val="bottom"/>
            <w:hideMark/>
          </w:tcPr>
          <w:p w14:paraId="3B490FA5" w14:textId="77777777" w:rsidR="00495E37" w:rsidRPr="003C0EA0" w:rsidRDefault="00495E37" w:rsidP="00495E37">
            <w:pPr>
              <w:jc w:val="right"/>
              <w:rPr>
                <w:rFonts w:cs="Arial"/>
                <w:color w:val="000000"/>
                <w:sz w:val="22"/>
                <w:szCs w:val="22"/>
                <w:lang w:eastAsia="en-GB"/>
              </w:rPr>
            </w:pPr>
            <w:r w:rsidRPr="003C0EA0">
              <w:rPr>
                <w:rFonts w:cs="Arial"/>
                <w:color w:val="000000"/>
                <w:sz w:val="22"/>
                <w:szCs w:val="22"/>
                <w:lang w:eastAsia="en-GB"/>
              </w:rPr>
              <w:t> </w:t>
            </w:r>
          </w:p>
        </w:tc>
        <w:tc>
          <w:tcPr>
            <w:tcW w:w="1276" w:type="dxa"/>
            <w:shd w:val="clear" w:color="auto" w:fill="auto"/>
            <w:noWrap/>
            <w:vAlign w:val="bottom"/>
            <w:hideMark/>
          </w:tcPr>
          <w:p w14:paraId="7CE9F5FE" w14:textId="77777777" w:rsidR="00495E37" w:rsidRPr="003C0EA0" w:rsidRDefault="00495E37" w:rsidP="00495E37">
            <w:pPr>
              <w:jc w:val="right"/>
              <w:rPr>
                <w:rFonts w:cs="Arial"/>
                <w:color w:val="000000"/>
                <w:sz w:val="22"/>
                <w:szCs w:val="22"/>
                <w:lang w:eastAsia="en-GB"/>
              </w:rPr>
            </w:pPr>
            <w:r w:rsidRPr="003C0EA0">
              <w:rPr>
                <w:rFonts w:cs="Arial"/>
                <w:color w:val="000000"/>
                <w:sz w:val="22"/>
                <w:szCs w:val="22"/>
                <w:lang w:eastAsia="en-GB"/>
              </w:rPr>
              <w:t> </w:t>
            </w:r>
          </w:p>
        </w:tc>
        <w:tc>
          <w:tcPr>
            <w:tcW w:w="1276" w:type="dxa"/>
            <w:shd w:val="clear" w:color="auto" w:fill="auto"/>
            <w:noWrap/>
            <w:vAlign w:val="bottom"/>
            <w:hideMark/>
          </w:tcPr>
          <w:p w14:paraId="368F154C" w14:textId="77777777" w:rsidR="00495E37" w:rsidRPr="003C0EA0" w:rsidRDefault="00495E37" w:rsidP="00495E37">
            <w:pPr>
              <w:jc w:val="right"/>
              <w:rPr>
                <w:rFonts w:cs="Arial"/>
                <w:color w:val="000000"/>
                <w:sz w:val="22"/>
                <w:szCs w:val="22"/>
                <w:lang w:eastAsia="en-GB"/>
              </w:rPr>
            </w:pPr>
            <w:r w:rsidRPr="003C0EA0">
              <w:rPr>
                <w:rFonts w:cs="Arial"/>
                <w:color w:val="000000"/>
                <w:sz w:val="22"/>
                <w:szCs w:val="22"/>
                <w:lang w:eastAsia="en-GB"/>
              </w:rPr>
              <w:t> </w:t>
            </w:r>
          </w:p>
        </w:tc>
        <w:tc>
          <w:tcPr>
            <w:tcW w:w="1276" w:type="dxa"/>
          </w:tcPr>
          <w:p w14:paraId="2B76509C" w14:textId="77777777" w:rsidR="00495E37" w:rsidRPr="003C0EA0" w:rsidRDefault="00495E37" w:rsidP="00495E37">
            <w:pPr>
              <w:jc w:val="right"/>
              <w:rPr>
                <w:rFonts w:cs="Arial"/>
                <w:color w:val="000000"/>
                <w:sz w:val="22"/>
                <w:szCs w:val="22"/>
                <w:lang w:eastAsia="en-GB"/>
              </w:rPr>
            </w:pPr>
          </w:p>
        </w:tc>
        <w:tc>
          <w:tcPr>
            <w:tcW w:w="1276" w:type="dxa"/>
          </w:tcPr>
          <w:p w14:paraId="6EC1831C" w14:textId="77777777" w:rsidR="00495E37" w:rsidRPr="003C0EA0" w:rsidRDefault="00495E37" w:rsidP="00495E37">
            <w:pPr>
              <w:jc w:val="right"/>
              <w:rPr>
                <w:rFonts w:cs="Arial"/>
                <w:color w:val="000000"/>
                <w:sz w:val="22"/>
                <w:szCs w:val="22"/>
                <w:lang w:eastAsia="en-GB"/>
              </w:rPr>
            </w:pPr>
          </w:p>
        </w:tc>
      </w:tr>
      <w:tr w:rsidR="00495E37" w:rsidRPr="00B96FC0" w14:paraId="2B5D15AC" w14:textId="4C6E1306" w:rsidTr="003C0EA0">
        <w:trPr>
          <w:trHeight w:val="300"/>
        </w:trPr>
        <w:tc>
          <w:tcPr>
            <w:tcW w:w="2737" w:type="dxa"/>
            <w:shd w:val="clear" w:color="auto" w:fill="auto"/>
            <w:noWrap/>
            <w:vAlign w:val="bottom"/>
            <w:hideMark/>
          </w:tcPr>
          <w:p w14:paraId="30232FD4" w14:textId="77777777" w:rsidR="00495E37" w:rsidRPr="001214BA" w:rsidRDefault="00495E37" w:rsidP="00495E37">
            <w:pPr>
              <w:rPr>
                <w:rFonts w:cs="Arial"/>
                <w:color w:val="000000"/>
                <w:sz w:val="22"/>
                <w:szCs w:val="22"/>
                <w:lang w:eastAsia="en-GB"/>
              </w:rPr>
            </w:pPr>
            <w:r w:rsidRPr="001214BA">
              <w:rPr>
                <w:rFonts w:cs="Arial"/>
                <w:color w:val="000000"/>
                <w:sz w:val="22"/>
                <w:szCs w:val="22"/>
                <w:lang w:eastAsia="en-GB"/>
              </w:rPr>
              <w:t>Income</w:t>
            </w:r>
          </w:p>
        </w:tc>
        <w:tc>
          <w:tcPr>
            <w:tcW w:w="1275" w:type="dxa"/>
            <w:shd w:val="clear" w:color="auto" w:fill="auto"/>
            <w:noWrap/>
            <w:vAlign w:val="center"/>
          </w:tcPr>
          <w:p w14:paraId="700D3185" w14:textId="48E499E3" w:rsidR="00495E37" w:rsidRPr="003C0EA0" w:rsidRDefault="00495E37" w:rsidP="003C0EA0">
            <w:pPr>
              <w:jc w:val="right"/>
              <w:rPr>
                <w:rFonts w:cs="Arial"/>
                <w:color w:val="000000"/>
                <w:sz w:val="22"/>
                <w:szCs w:val="22"/>
                <w:lang w:eastAsia="en-GB"/>
              </w:rPr>
            </w:pPr>
            <w:r w:rsidRPr="003C0EA0">
              <w:rPr>
                <w:rFonts w:cs="Arial"/>
                <w:color w:val="000000"/>
                <w:sz w:val="22"/>
                <w:szCs w:val="22"/>
                <w:lang w:eastAsia="en-GB"/>
              </w:rPr>
              <w:t>(</w:t>
            </w:r>
            <w:r w:rsidR="00CC4C1B" w:rsidRPr="003C0EA0">
              <w:rPr>
                <w:rFonts w:cs="Arial"/>
                <w:color w:val="000000"/>
                <w:sz w:val="22"/>
                <w:szCs w:val="22"/>
                <w:lang w:eastAsia="en-GB"/>
              </w:rPr>
              <w:t>60,897</w:t>
            </w:r>
            <w:r w:rsidRPr="003C0EA0">
              <w:rPr>
                <w:rFonts w:cs="Arial"/>
                <w:color w:val="000000"/>
                <w:sz w:val="22"/>
                <w:szCs w:val="22"/>
                <w:lang w:eastAsia="en-GB"/>
              </w:rPr>
              <w:t>)</w:t>
            </w:r>
          </w:p>
        </w:tc>
        <w:tc>
          <w:tcPr>
            <w:tcW w:w="1276" w:type="dxa"/>
            <w:shd w:val="clear" w:color="auto" w:fill="auto"/>
            <w:noWrap/>
            <w:vAlign w:val="center"/>
          </w:tcPr>
          <w:p w14:paraId="4531BDEB" w14:textId="7CC4AF47" w:rsidR="00495E37" w:rsidRPr="003C0EA0" w:rsidRDefault="000929EA" w:rsidP="003C0EA0">
            <w:pPr>
              <w:jc w:val="right"/>
              <w:rPr>
                <w:rFonts w:cs="Arial"/>
                <w:color w:val="000000"/>
                <w:sz w:val="22"/>
                <w:szCs w:val="22"/>
                <w:lang w:eastAsia="en-GB"/>
              </w:rPr>
            </w:pPr>
            <w:r w:rsidRPr="003C0EA0">
              <w:rPr>
                <w:rFonts w:cs="Arial"/>
                <w:color w:val="000000"/>
                <w:sz w:val="22"/>
                <w:szCs w:val="22"/>
                <w:lang w:eastAsia="en-GB"/>
              </w:rPr>
              <w:t>(64,671)</w:t>
            </w:r>
          </w:p>
        </w:tc>
        <w:tc>
          <w:tcPr>
            <w:tcW w:w="1276" w:type="dxa"/>
            <w:shd w:val="clear" w:color="auto" w:fill="auto"/>
            <w:noWrap/>
            <w:vAlign w:val="center"/>
          </w:tcPr>
          <w:p w14:paraId="204FAAED" w14:textId="5BD9BE68" w:rsidR="00495E37" w:rsidRPr="003C0EA0" w:rsidRDefault="00AB5542" w:rsidP="003C0EA0">
            <w:pPr>
              <w:jc w:val="right"/>
              <w:rPr>
                <w:rFonts w:cs="Arial"/>
                <w:color w:val="000000"/>
                <w:sz w:val="22"/>
                <w:szCs w:val="22"/>
                <w:lang w:eastAsia="en-GB"/>
              </w:rPr>
            </w:pPr>
            <w:r w:rsidRPr="003C0EA0">
              <w:rPr>
                <w:rFonts w:cs="Arial"/>
                <w:color w:val="000000"/>
                <w:sz w:val="22"/>
                <w:szCs w:val="22"/>
                <w:lang w:eastAsia="en-GB"/>
              </w:rPr>
              <w:t>(68,943)</w:t>
            </w:r>
          </w:p>
        </w:tc>
        <w:tc>
          <w:tcPr>
            <w:tcW w:w="1276" w:type="dxa"/>
            <w:vAlign w:val="center"/>
          </w:tcPr>
          <w:p w14:paraId="25AAC1EE" w14:textId="0C7DA81B" w:rsidR="00495E37" w:rsidRPr="003C0EA0" w:rsidRDefault="00AB5542" w:rsidP="003C0EA0">
            <w:pPr>
              <w:jc w:val="right"/>
              <w:rPr>
                <w:rFonts w:cs="Arial"/>
                <w:color w:val="000000"/>
                <w:sz w:val="22"/>
                <w:szCs w:val="22"/>
                <w:lang w:eastAsia="en-GB"/>
              </w:rPr>
            </w:pPr>
            <w:r w:rsidRPr="003C0EA0">
              <w:rPr>
                <w:rFonts w:cs="Arial"/>
                <w:color w:val="000000"/>
                <w:sz w:val="22"/>
                <w:szCs w:val="22"/>
                <w:lang w:eastAsia="en-GB"/>
              </w:rPr>
              <w:t>(71,97</w:t>
            </w:r>
            <w:r w:rsidR="00D132BE">
              <w:rPr>
                <w:rFonts w:cs="Arial"/>
                <w:color w:val="000000"/>
                <w:sz w:val="22"/>
                <w:szCs w:val="22"/>
                <w:lang w:eastAsia="en-GB"/>
              </w:rPr>
              <w:t>5</w:t>
            </w:r>
            <w:r w:rsidRPr="003C0EA0">
              <w:rPr>
                <w:rFonts w:cs="Arial"/>
                <w:color w:val="000000"/>
                <w:sz w:val="22"/>
                <w:szCs w:val="22"/>
                <w:lang w:eastAsia="en-GB"/>
              </w:rPr>
              <w:t>)</w:t>
            </w:r>
          </w:p>
        </w:tc>
        <w:tc>
          <w:tcPr>
            <w:tcW w:w="1276" w:type="dxa"/>
            <w:vAlign w:val="center"/>
          </w:tcPr>
          <w:p w14:paraId="35DCA96B" w14:textId="2CAB329C" w:rsidR="00495E37" w:rsidRPr="003C0EA0" w:rsidRDefault="00AB5542" w:rsidP="003C0EA0">
            <w:pPr>
              <w:jc w:val="right"/>
              <w:rPr>
                <w:rFonts w:cs="Arial"/>
                <w:color w:val="000000"/>
                <w:sz w:val="22"/>
                <w:szCs w:val="22"/>
                <w:lang w:eastAsia="en-GB"/>
              </w:rPr>
            </w:pPr>
            <w:r w:rsidRPr="003C0EA0">
              <w:rPr>
                <w:rFonts w:cs="Arial"/>
                <w:color w:val="000000"/>
                <w:sz w:val="22"/>
                <w:szCs w:val="22"/>
                <w:lang w:eastAsia="en-GB"/>
              </w:rPr>
              <w:t>(74,713)</w:t>
            </w:r>
          </w:p>
        </w:tc>
      </w:tr>
      <w:tr w:rsidR="003F75D9" w:rsidRPr="00B96FC0" w14:paraId="0B735187" w14:textId="14A16D44">
        <w:trPr>
          <w:trHeight w:val="288"/>
        </w:trPr>
        <w:tc>
          <w:tcPr>
            <w:tcW w:w="2737" w:type="dxa"/>
            <w:tcBorders>
              <w:bottom w:val="single" w:sz="4" w:space="0" w:color="auto"/>
            </w:tcBorders>
            <w:shd w:val="clear" w:color="auto" w:fill="auto"/>
            <w:noWrap/>
            <w:vAlign w:val="bottom"/>
          </w:tcPr>
          <w:p w14:paraId="2D153D94" w14:textId="77777777" w:rsidR="003F75D9" w:rsidRPr="001214BA" w:rsidRDefault="003F75D9" w:rsidP="003F75D9">
            <w:pPr>
              <w:rPr>
                <w:rFonts w:cs="Arial"/>
                <w:color w:val="000000"/>
                <w:sz w:val="22"/>
                <w:szCs w:val="22"/>
                <w:lang w:eastAsia="en-GB"/>
              </w:rPr>
            </w:pPr>
            <w:r w:rsidRPr="001214BA">
              <w:rPr>
                <w:rFonts w:cs="Arial"/>
                <w:color w:val="000000"/>
                <w:sz w:val="22"/>
                <w:szCs w:val="22"/>
                <w:lang w:eastAsia="en-GB"/>
              </w:rPr>
              <w:t>Expenditure</w:t>
            </w:r>
          </w:p>
        </w:tc>
        <w:tc>
          <w:tcPr>
            <w:tcW w:w="1275" w:type="dxa"/>
            <w:tcBorders>
              <w:bottom w:val="single" w:sz="4" w:space="0" w:color="auto"/>
            </w:tcBorders>
            <w:shd w:val="clear" w:color="auto" w:fill="auto"/>
            <w:noWrap/>
          </w:tcPr>
          <w:p w14:paraId="3EEB6F82" w14:textId="7D3BDDD7" w:rsidR="003F75D9" w:rsidRPr="006721C9" w:rsidRDefault="00D132BE" w:rsidP="003F75D9">
            <w:pPr>
              <w:jc w:val="right"/>
              <w:rPr>
                <w:sz w:val="22"/>
                <w:szCs w:val="22"/>
                <w:highlight w:val="yellow"/>
                <w:lang w:eastAsia="en-GB"/>
              </w:rPr>
            </w:pPr>
            <w:r>
              <w:rPr>
                <w:sz w:val="22"/>
                <w:szCs w:val="22"/>
              </w:rPr>
              <w:t>57,144</w:t>
            </w:r>
            <w:r w:rsidR="003F75D9" w:rsidRPr="006721C9">
              <w:rPr>
                <w:sz w:val="22"/>
                <w:szCs w:val="22"/>
              </w:rPr>
              <w:t xml:space="preserve"> </w:t>
            </w:r>
          </w:p>
        </w:tc>
        <w:tc>
          <w:tcPr>
            <w:tcW w:w="1276" w:type="dxa"/>
            <w:tcBorders>
              <w:bottom w:val="single" w:sz="4" w:space="0" w:color="auto"/>
            </w:tcBorders>
            <w:shd w:val="clear" w:color="auto" w:fill="auto"/>
            <w:noWrap/>
          </w:tcPr>
          <w:p w14:paraId="6921B015" w14:textId="3B5F246C" w:rsidR="003F75D9" w:rsidRPr="006721C9" w:rsidRDefault="00D132BE" w:rsidP="003F75D9">
            <w:pPr>
              <w:jc w:val="right"/>
              <w:rPr>
                <w:sz w:val="22"/>
                <w:szCs w:val="22"/>
                <w:highlight w:val="yellow"/>
                <w:lang w:eastAsia="en-GB"/>
              </w:rPr>
            </w:pPr>
            <w:r>
              <w:rPr>
                <w:sz w:val="22"/>
                <w:szCs w:val="22"/>
              </w:rPr>
              <w:t>60,798</w:t>
            </w:r>
            <w:r w:rsidR="003F75D9" w:rsidRPr="006721C9">
              <w:rPr>
                <w:sz w:val="22"/>
                <w:szCs w:val="22"/>
              </w:rPr>
              <w:t xml:space="preserve"> </w:t>
            </w:r>
          </w:p>
        </w:tc>
        <w:tc>
          <w:tcPr>
            <w:tcW w:w="1276" w:type="dxa"/>
            <w:tcBorders>
              <w:bottom w:val="single" w:sz="4" w:space="0" w:color="auto"/>
            </w:tcBorders>
            <w:shd w:val="clear" w:color="auto" w:fill="auto"/>
            <w:noWrap/>
          </w:tcPr>
          <w:p w14:paraId="4C6CF802" w14:textId="48D0F1E2" w:rsidR="003F75D9" w:rsidRPr="006721C9" w:rsidRDefault="00D132BE" w:rsidP="003F75D9">
            <w:pPr>
              <w:jc w:val="right"/>
              <w:rPr>
                <w:sz w:val="22"/>
                <w:szCs w:val="22"/>
                <w:highlight w:val="yellow"/>
                <w:lang w:eastAsia="en-GB"/>
              </w:rPr>
            </w:pPr>
            <w:r>
              <w:rPr>
                <w:sz w:val="22"/>
                <w:szCs w:val="22"/>
              </w:rPr>
              <w:t>61,133</w:t>
            </w:r>
            <w:r w:rsidR="003F75D9" w:rsidRPr="006721C9">
              <w:rPr>
                <w:sz w:val="22"/>
                <w:szCs w:val="22"/>
              </w:rPr>
              <w:t xml:space="preserve"> </w:t>
            </w:r>
          </w:p>
        </w:tc>
        <w:tc>
          <w:tcPr>
            <w:tcW w:w="1276" w:type="dxa"/>
            <w:tcBorders>
              <w:bottom w:val="single" w:sz="4" w:space="0" w:color="auto"/>
            </w:tcBorders>
          </w:tcPr>
          <w:p w14:paraId="2960BD1C" w14:textId="1C23CE00" w:rsidR="003F75D9" w:rsidRPr="006721C9" w:rsidRDefault="003F75D9" w:rsidP="003F75D9">
            <w:pPr>
              <w:jc w:val="right"/>
              <w:rPr>
                <w:sz w:val="22"/>
                <w:szCs w:val="22"/>
                <w:highlight w:val="yellow"/>
                <w:lang w:eastAsia="en-GB"/>
              </w:rPr>
            </w:pPr>
            <w:r w:rsidRPr="006721C9">
              <w:rPr>
                <w:sz w:val="22"/>
                <w:szCs w:val="22"/>
              </w:rPr>
              <w:t>6</w:t>
            </w:r>
            <w:r w:rsidR="00D132BE">
              <w:rPr>
                <w:sz w:val="22"/>
                <w:szCs w:val="22"/>
              </w:rPr>
              <w:t>3</w:t>
            </w:r>
            <w:r w:rsidRPr="006721C9">
              <w:rPr>
                <w:sz w:val="22"/>
                <w:szCs w:val="22"/>
              </w:rPr>
              <w:t>,</w:t>
            </w:r>
            <w:r w:rsidR="00D132BE">
              <w:rPr>
                <w:sz w:val="22"/>
                <w:szCs w:val="22"/>
              </w:rPr>
              <w:t>709</w:t>
            </w:r>
            <w:r w:rsidRPr="006721C9">
              <w:rPr>
                <w:sz w:val="22"/>
                <w:szCs w:val="22"/>
              </w:rPr>
              <w:t xml:space="preserve"> </w:t>
            </w:r>
          </w:p>
        </w:tc>
        <w:tc>
          <w:tcPr>
            <w:tcW w:w="1276" w:type="dxa"/>
            <w:tcBorders>
              <w:bottom w:val="single" w:sz="4" w:space="0" w:color="auto"/>
            </w:tcBorders>
          </w:tcPr>
          <w:p w14:paraId="0FE97876" w14:textId="382C0626" w:rsidR="003F75D9" w:rsidRPr="006721C9" w:rsidRDefault="003F75D9" w:rsidP="003F75D9">
            <w:pPr>
              <w:jc w:val="right"/>
              <w:rPr>
                <w:sz w:val="22"/>
                <w:szCs w:val="22"/>
                <w:highlight w:val="yellow"/>
                <w:lang w:eastAsia="en-GB"/>
              </w:rPr>
            </w:pPr>
            <w:r w:rsidRPr="006721C9">
              <w:rPr>
                <w:sz w:val="22"/>
                <w:szCs w:val="22"/>
              </w:rPr>
              <w:t>6</w:t>
            </w:r>
            <w:r w:rsidR="00D132BE">
              <w:rPr>
                <w:sz w:val="22"/>
                <w:szCs w:val="22"/>
              </w:rPr>
              <w:t>7,271</w:t>
            </w:r>
            <w:r w:rsidRPr="006721C9">
              <w:rPr>
                <w:sz w:val="22"/>
                <w:szCs w:val="22"/>
              </w:rPr>
              <w:t xml:space="preserve"> </w:t>
            </w:r>
          </w:p>
        </w:tc>
      </w:tr>
      <w:tr w:rsidR="00D13AC3" w:rsidRPr="00B96FC0" w14:paraId="1DC0DB7C" w14:textId="14AAE0BA" w:rsidTr="00E41C3F">
        <w:trPr>
          <w:trHeight w:val="288"/>
        </w:trPr>
        <w:tc>
          <w:tcPr>
            <w:tcW w:w="2737" w:type="dxa"/>
            <w:tcBorders>
              <w:top w:val="single" w:sz="4" w:space="0" w:color="auto"/>
              <w:bottom w:val="nil"/>
            </w:tcBorders>
            <w:shd w:val="clear" w:color="auto" w:fill="auto"/>
            <w:noWrap/>
            <w:vAlign w:val="bottom"/>
          </w:tcPr>
          <w:p w14:paraId="620B51A0" w14:textId="77777777" w:rsidR="00D13AC3" w:rsidRPr="001214BA" w:rsidRDefault="00D13AC3" w:rsidP="00D13AC3">
            <w:pPr>
              <w:rPr>
                <w:rFonts w:cs="Arial"/>
                <w:b/>
                <w:color w:val="000000"/>
                <w:sz w:val="22"/>
                <w:szCs w:val="22"/>
                <w:lang w:eastAsia="en-GB"/>
              </w:rPr>
            </w:pPr>
            <w:r w:rsidRPr="001214BA">
              <w:rPr>
                <w:rFonts w:cs="Arial"/>
                <w:b/>
                <w:color w:val="000000"/>
                <w:sz w:val="22"/>
                <w:szCs w:val="22"/>
                <w:lang w:eastAsia="en-GB"/>
              </w:rPr>
              <w:t>Net Operating Expenditure/(income)</w:t>
            </w:r>
          </w:p>
        </w:tc>
        <w:tc>
          <w:tcPr>
            <w:tcW w:w="1275" w:type="dxa"/>
            <w:tcBorders>
              <w:top w:val="single" w:sz="4" w:space="0" w:color="auto"/>
              <w:bottom w:val="nil"/>
            </w:tcBorders>
            <w:shd w:val="clear" w:color="auto" w:fill="auto"/>
            <w:noWrap/>
            <w:vAlign w:val="center"/>
          </w:tcPr>
          <w:p w14:paraId="383CFFBC" w14:textId="04BC5FC6" w:rsidR="00D13AC3" w:rsidRPr="00173FED" w:rsidRDefault="00D132BE" w:rsidP="00D13AC3">
            <w:pPr>
              <w:jc w:val="right"/>
              <w:rPr>
                <w:b/>
                <w:bCs/>
                <w:sz w:val="22"/>
                <w:szCs w:val="22"/>
                <w:highlight w:val="yellow"/>
                <w:lang w:eastAsia="en-GB"/>
              </w:rPr>
            </w:pPr>
            <w:r w:rsidRPr="00D132BE">
              <w:rPr>
                <w:b/>
                <w:bCs/>
                <w:sz w:val="22"/>
                <w:szCs w:val="22"/>
                <w:lang w:eastAsia="en-GB"/>
              </w:rPr>
              <w:t>(3,753</w:t>
            </w:r>
            <w:r>
              <w:rPr>
                <w:b/>
                <w:bCs/>
                <w:sz w:val="22"/>
                <w:szCs w:val="22"/>
                <w:highlight w:val="yellow"/>
                <w:lang w:eastAsia="en-GB"/>
              </w:rPr>
              <w:t>)</w:t>
            </w:r>
          </w:p>
        </w:tc>
        <w:tc>
          <w:tcPr>
            <w:tcW w:w="1276" w:type="dxa"/>
            <w:tcBorders>
              <w:top w:val="single" w:sz="4" w:space="0" w:color="auto"/>
              <w:bottom w:val="nil"/>
            </w:tcBorders>
            <w:shd w:val="clear" w:color="auto" w:fill="auto"/>
            <w:noWrap/>
            <w:vAlign w:val="center"/>
          </w:tcPr>
          <w:p w14:paraId="172B926F" w14:textId="7782950C" w:rsidR="00D13AC3" w:rsidRPr="00173FED" w:rsidRDefault="00D13AC3" w:rsidP="00D13AC3">
            <w:pPr>
              <w:jc w:val="right"/>
              <w:rPr>
                <w:b/>
                <w:bCs/>
                <w:sz w:val="22"/>
                <w:szCs w:val="22"/>
                <w:highlight w:val="yellow"/>
                <w:lang w:eastAsia="en-GB"/>
              </w:rPr>
            </w:pPr>
            <w:r w:rsidRPr="00173FED">
              <w:rPr>
                <w:b/>
                <w:bCs/>
                <w:sz w:val="22"/>
                <w:szCs w:val="22"/>
              </w:rPr>
              <w:t>(</w:t>
            </w:r>
            <w:r w:rsidR="00D132BE">
              <w:rPr>
                <w:b/>
                <w:bCs/>
                <w:sz w:val="22"/>
                <w:szCs w:val="22"/>
              </w:rPr>
              <w:t>3,873</w:t>
            </w:r>
            <w:r w:rsidRPr="00173FED">
              <w:rPr>
                <w:b/>
                <w:bCs/>
                <w:sz w:val="22"/>
                <w:szCs w:val="22"/>
              </w:rPr>
              <w:t>)</w:t>
            </w:r>
          </w:p>
        </w:tc>
        <w:tc>
          <w:tcPr>
            <w:tcW w:w="1276" w:type="dxa"/>
            <w:tcBorders>
              <w:top w:val="single" w:sz="4" w:space="0" w:color="auto"/>
              <w:bottom w:val="nil"/>
            </w:tcBorders>
            <w:shd w:val="clear" w:color="auto" w:fill="auto"/>
            <w:noWrap/>
            <w:vAlign w:val="center"/>
          </w:tcPr>
          <w:p w14:paraId="7D9D7C92" w14:textId="55F3A116" w:rsidR="00D13AC3" w:rsidRPr="00173FED" w:rsidRDefault="00D13AC3" w:rsidP="00D13AC3">
            <w:pPr>
              <w:jc w:val="right"/>
              <w:rPr>
                <w:b/>
                <w:bCs/>
                <w:sz w:val="22"/>
                <w:szCs w:val="22"/>
                <w:highlight w:val="yellow"/>
                <w:lang w:eastAsia="en-GB"/>
              </w:rPr>
            </w:pPr>
            <w:r w:rsidRPr="00173FED">
              <w:rPr>
                <w:b/>
                <w:bCs/>
                <w:sz w:val="22"/>
                <w:szCs w:val="22"/>
              </w:rPr>
              <w:t>(</w:t>
            </w:r>
            <w:r w:rsidR="00D132BE">
              <w:rPr>
                <w:b/>
                <w:bCs/>
                <w:sz w:val="22"/>
                <w:szCs w:val="22"/>
              </w:rPr>
              <w:t>7,810</w:t>
            </w:r>
            <w:r w:rsidRPr="00173FED">
              <w:rPr>
                <w:b/>
                <w:bCs/>
                <w:sz w:val="22"/>
                <w:szCs w:val="22"/>
              </w:rPr>
              <w:t>)</w:t>
            </w:r>
          </w:p>
        </w:tc>
        <w:tc>
          <w:tcPr>
            <w:tcW w:w="1276" w:type="dxa"/>
            <w:tcBorders>
              <w:top w:val="single" w:sz="4" w:space="0" w:color="auto"/>
              <w:bottom w:val="nil"/>
            </w:tcBorders>
            <w:vAlign w:val="center"/>
          </w:tcPr>
          <w:p w14:paraId="77BB7396" w14:textId="37F1CDB3" w:rsidR="00D13AC3" w:rsidRPr="00173FED" w:rsidRDefault="00D13AC3" w:rsidP="00D13AC3">
            <w:pPr>
              <w:jc w:val="right"/>
              <w:rPr>
                <w:b/>
                <w:bCs/>
                <w:sz w:val="22"/>
                <w:szCs w:val="22"/>
                <w:highlight w:val="yellow"/>
                <w:lang w:eastAsia="en-GB"/>
              </w:rPr>
            </w:pPr>
            <w:r w:rsidRPr="00173FED">
              <w:rPr>
                <w:b/>
                <w:bCs/>
                <w:sz w:val="22"/>
                <w:szCs w:val="22"/>
              </w:rPr>
              <w:t>(</w:t>
            </w:r>
            <w:r w:rsidR="00D132BE">
              <w:rPr>
                <w:b/>
                <w:bCs/>
                <w:sz w:val="22"/>
                <w:szCs w:val="22"/>
              </w:rPr>
              <w:t>8,266</w:t>
            </w:r>
            <w:r w:rsidRPr="00173FED">
              <w:rPr>
                <w:b/>
                <w:bCs/>
                <w:sz w:val="22"/>
                <w:szCs w:val="22"/>
              </w:rPr>
              <w:t>)</w:t>
            </w:r>
          </w:p>
        </w:tc>
        <w:tc>
          <w:tcPr>
            <w:tcW w:w="1276" w:type="dxa"/>
            <w:tcBorders>
              <w:top w:val="single" w:sz="4" w:space="0" w:color="auto"/>
              <w:bottom w:val="nil"/>
            </w:tcBorders>
            <w:vAlign w:val="center"/>
          </w:tcPr>
          <w:p w14:paraId="7A7C0301" w14:textId="6AD77B6C" w:rsidR="00D13AC3" w:rsidRPr="00173FED" w:rsidRDefault="00D13AC3" w:rsidP="00D13AC3">
            <w:pPr>
              <w:jc w:val="right"/>
              <w:rPr>
                <w:b/>
                <w:bCs/>
                <w:sz w:val="22"/>
                <w:szCs w:val="22"/>
                <w:highlight w:val="yellow"/>
                <w:lang w:eastAsia="en-GB"/>
              </w:rPr>
            </w:pPr>
            <w:r w:rsidRPr="00173FED">
              <w:rPr>
                <w:b/>
                <w:bCs/>
                <w:sz w:val="22"/>
                <w:szCs w:val="22"/>
              </w:rPr>
              <w:t>(</w:t>
            </w:r>
            <w:r w:rsidR="00D132BE">
              <w:rPr>
                <w:b/>
                <w:bCs/>
                <w:sz w:val="22"/>
                <w:szCs w:val="22"/>
              </w:rPr>
              <w:t>7,442</w:t>
            </w:r>
            <w:r w:rsidRPr="00173FED">
              <w:rPr>
                <w:b/>
                <w:bCs/>
                <w:sz w:val="22"/>
                <w:szCs w:val="22"/>
              </w:rPr>
              <w:t>)</w:t>
            </w:r>
          </w:p>
        </w:tc>
      </w:tr>
      <w:tr w:rsidR="005559A7" w:rsidRPr="00B96FC0" w14:paraId="1C393482" w14:textId="31DFF5E6">
        <w:trPr>
          <w:trHeight w:val="288"/>
        </w:trPr>
        <w:tc>
          <w:tcPr>
            <w:tcW w:w="2737" w:type="dxa"/>
            <w:shd w:val="clear" w:color="auto" w:fill="auto"/>
            <w:noWrap/>
            <w:vAlign w:val="bottom"/>
          </w:tcPr>
          <w:p w14:paraId="0AB0F400" w14:textId="77777777" w:rsidR="005559A7" w:rsidRPr="001214BA" w:rsidRDefault="005559A7" w:rsidP="005559A7">
            <w:pPr>
              <w:rPr>
                <w:rFonts w:cs="Arial"/>
                <w:color w:val="000000"/>
                <w:sz w:val="22"/>
                <w:szCs w:val="22"/>
                <w:lang w:eastAsia="en-GB"/>
              </w:rPr>
            </w:pPr>
            <w:r w:rsidRPr="001214BA">
              <w:rPr>
                <w:rFonts w:cs="Arial"/>
                <w:color w:val="000000"/>
                <w:sz w:val="22"/>
                <w:szCs w:val="22"/>
                <w:lang w:eastAsia="en-GB"/>
              </w:rPr>
              <w:t>Investment income</w:t>
            </w:r>
          </w:p>
        </w:tc>
        <w:tc>
          <w:tcPr>
            <w:tcW w:w="1275" w:type="dxa"/>
            <w:shd w:val="clear" w:color="auto" w:fill="auto"/>
            <w:noWrap/>
          </w:tcPr>
          <w:p w14:paraId="654AE189" w14:textId="349828D6" w:rsidR="005559A7" w:rsidRPr="00B96FC0" w:rsidRDefault="005559A7" w:rsidP="005559A7">
            <w:pPr>
              <w:jc w:val="right"/>
              <w:rPr>
                <w:sz w:val="22"/>
                <w:szCs w:val="22"/>
                <w:highlight w:val="yellow"/>
                <w:lang w:eastAsia="en-GB"/>
              </w:rPr>
            </w:pPr>
            <w:r w:rsidRPr="00211CB7">
              <w:rPr>
                <w:sz w:val="22"/>
                <w:szCs w:val="22"/>
              </w:rPr>
              <w:t>(34)</w:t>
            </w:r>
          </w:p>
        </w:tc>
        <w:tc>
          <w:tcPr>
            <w:tcW w:w="1276" w:type="dxa"/>
            <w:shd w:val="clear" w:color="auto" w:fill="auto"/>
            <w:noWrap/>
          </w:tcPr>
          <w:p w14:paraId="04BB2E46" w14:textId="4C636FC2" w:rsidR="005559A7" w:rsidRPr="00B96FC0" w:rsidRDefault="005559A7" w:rsidP="005559A7">
            <w:pPr>
              <w:jc w:val="right"/>
              <w:rPr>
                <w:sz w:val="22"/>
                <w:szCs w:val="22"/>
                <w:highlight w:val="yellow"/>
                <w:lang w:eastAsia="en-GB"/>
              </w:rPr>
            </w:pPr>
            <w:r w:rsidRPr="00211CB7">
              <w:rPr>
                <w:sz w:val="22"/>
                <w:szCs w:val="22"/>
              </w:rPr>
              <w:t>(36)</w:t>
            </w:r>
          </w:p>
        </w:tc>
        <w:tc>
          <w:tcPr>
            <w:tcW w:w="1276" w:type="dxa"/>
            <w:shd w:val="clear" w:color="auto" w:fill="auto"/>
            <w:noWrap/>
          </w:tcPr>
          <w:p w14:paraId="1BEADD51" w14:textId="5074C29E" w:rsidR="005559A7" w:rsidRPr="00B96FC0" w:rsidRDefault="005559A7" w:rsidP="005559A7">
            <w:pPr>
              <w:jc w:val="right"/>
              <w:rPr>
                <w:sz w:val="22"/>
                <w:szCs w:val="22"/>
                <w:highlight w:val="yellow"/>
                <w:lang w:eastAsia="en-GB"/>
              </w:rPr>
            </w:pPr>
            <w:r w:rsidRPr="00211CB7">
              <w:rPr>
                <w:sz w:val="22"/>
                <w:szCs w:val="22"/>
              </w:rPr>
              <w:t>(3</w:t>
            </w:r>
            <w:r w:rsidR="00D132BE">
              <w:rPr>
                <w:sz w:val="22"/>
                <w:szCs w:val="22"/>
              </w:rPr>
              <w:t>0</w:t>
            </w:r>
            <w:r w:rsidRPr="00211CB7">
              <w:rPr>
                <w:sz w:val="22"/>
                <w:szCs w:val="22"/>
              </w:rPr>
              <w:t>)</w:t>
            </w:r>
          </w:p>
        </w:tc>
        <w:tc>
          <w:tcPr>
            <w:tcW w:w="1276" w:type="dxa"/>
          </w:tcPr>
          <w:p w14:paraId="52016ADA" w14:textId="6DC00AED" w:rsidR="005559A7" w:rsidRPr="00B96FC0" w:rsidRDefault="005559A7" w:rsidP="005559A7">
            <w:pPr>
              <w:jc w:val="right"/>
              <w:rPr>
                <w:sz w:val="22"/>
                <w:szCs w:val="22"/>
                <w:highlight w:val="yellow"/>
                <w:lang w:eastAsia="en-GB"/>
              </w:rPr>
            </w:pPr>
            <w:r w:rsidRPr="00211CB7">
              <w:rPr>
                <w:sz w:val="22"/>
                <w:szCs w:val="22"/>
              </w:rPr>
              <w:t>(</w:t>
            </w:r>
            <w:r w:rsidR="00D132BE">
              <w:rPr>
                <w:sz w:val="22"/>
                <w:szCs w:val="22"/>
              </w:rPr>
              <w:t>27</w:t>
            </w:r>
            <w:r w:rsidRPr="00211CB7">
              <w:rPr>
                <w:sz w:val="22"/>
                <w:szCs w:val="22"/>
              </w:rPr>
              <w:t>)</w:t>
            </w:r>
          </w:p>
        </w:tc>
        <w:tc>
          <w:tcPr>
            <w:tcW w:w="1276" w:type="dxa"/>
          </w:tcPr>
          <w:p w14:paraId="77E941FB" w14:textId="438877D2" w:rsidR="005559A7" w:rsidRPr="00B96FC0" w:rsidRDefault="005559A7" w:rsidP="005559A7">
            <w:pPr>
              <w:jc w:val="right"/>
              <w:rPr>
                <w:sz w:val="22"/>
                <w:szCs w:val="22"/>
                <w:highlight w:val="yellow"/>
                <w:lang w:eastAsia="en-GB"/>
              </w:rPr>
            </w:pPr>
            <w:r w:rsidRPr="00211CB7">
              <w:rPr>
                <w:sz w:val="22"/>
                <w:szCs w:val="22"/>
              </w:rPr>
              <w:t>(</w:t>
            </w:r>
            <w:r w:rsidR="00D132BE">
              <w:rPr>
                <w:sz w:val="22"/>
                <w:szCs w:val="22"/>
              </w:rPr>
              <w:t>28)</w:t>
            </w:r>
          </w:p>
        </w:tc>
      </w:tr>
      <w:tr w:rsidR="00F641C4" w:rsidRPr="00B96FC0" w14:paraId="23E6AA2C" w14:textId="4914030A">
        <w:trPr>
          <w:trHeight w:val="288"/>
        </w:trPr>
        <w:tc>
          <w:tcPr>
            <w:tcW w:w="2737" w:type="dxa"/>
            <w:shd w:val="clear" w:color="auto" w:fill="auto"/>
            <w:noWrap/>
            <w:vAlign w:val="bottom"/>
          </w:tcPr>
          <w:p w14:paraId="59A02F06" w14:textId="77777777" w:rsidR="00F641C4" w:rsidRPr="001214BA" w:rsidRDefault="00F641C4" w:rsidP="00F641C4">
            <w:pPr>
              <w:rPr>
                <w:rFonts w:cs="Arial"/>
                <w:color w:val="000000"/>
                <w:sz w:val="22"/>
                <w:szCs w:val="22"/>
                <w:lang w:eastAsia="en-GB"/>
              </w:rPr>
            </w:pPr>
            <w:r w:rsidRPr="001214BA">
              <w:rPr>
                <w:rFonts w:cs="Arial"/>
                <w:color w:val="000000"/>
                <w:sz w:val="22"/>
                <w:szCs w:val="22"/>
                <w:lang w:eastAsia="en-GB"/>
              </w:rPr>
              <w:t>Revenue Contributions</w:t>
            </w:r>
          </w:p>
        </w:tc>
        <w:tc>
          <w:tcPr>
            <w:tcW w:w="1275" w:type="dxa"/>
            <w:shd w:val="clear" w:color="auto" w:fill="auto"/>
            <w:noWrap/>
          </w:tcPr>
          <w:p w14:paraId="2E967AE0" w14:textId="7A386065" w:rsidR="00F641C4" w:rsidRPr="00B96FC0" w:rsidRDefault="00D132BE" w:rsidP="00F641C4">
            <w:pPr>
              <w:jc w:val="right"/>
              <w:rPr>
                <w:b/>
                <w:sz w:val="22"/>
                <w:szCs w:val="22"/>
                <w:highlight w:val="yellow"/>
                <w:lang w:eastAsia="en-GB"/>
              </w:rPr>
            </w:pPr>
            <w:r>
              <w:rPr>
                <w:sz w:val="22"/>
                <w:szCs w:val="22"/>
              </w:rPr>
              <w:t>2,590</w:t>
            </w:r>
            <w:r w:rsidR="00F641C4" w:rsidRPr="00211CB7">
              <w:rPr>
                <w:sz w:val="22"/>
                <w:szCs w:val="22"/>
              </w:rPr>
              <w:t xml:space="preserve"> </w:t>
            </w:r>
          </w:p>
        </w:tc>
        <w:tc>
          <w:tcPr>
            <w:tcW w:w="1276" w:type="dxa"/>
            <w:shd w:val="clear" w:color="auto" w:fill="auto"/>
            <w:noWrap/>
          </w:tcPr>
          <w:p w14:paraId="5DF4A5D6" w14:textId="1C9ED4BB" w:rsidR="00F641C4" w:rsidRPr="00B96FC0" w:rsidRDefault="00D132BE" w:rsidP="00F641C4">
            <w:pPr>
              <w:jc w:val="right"/>
              <w:rPr>
                <w:sz w:val="22"/>
                <w:szCs w:val="22"/>
                <w:highlight w:val="yellow"/>
                <w:lang w:eastAsia="en-GB"/>
              </w:rPr>
            </w:pPr>
            <w:r>
              <w:rPr>
                <w:sz w:val="22"/>
                <w:szCs w:val="22"/>
              </w:rPr>
              <w:t>4,361</w:t>
            </w:r>
            <w:r w:rsidR="00F641C4" w:rsidRPr="00211CB7">
              <w:rPr>
                <w:sz w:val="22"/>
                <w:szCs w:val="22"/>
              </w:rPr>
              <w:t xml:space="preserve"> </w:t>
            </w:r>
          </w:p>
        </w:tc>
        <w:tc>
          <w:tcPr>
            <w:tcW w:w="1276" w:type="dxa"/>
            <w:shd w:val="clear" w:color="auto" w:fill="auto"/>
            <w:noWrap/>
          </w:tcPr>
          <w:p w14:paraId="0D8AE101" w14:textId="3CF795FF" w:rsidR="00F641C4" w:rsidRPr="00B96FC0" w:rsidRDefault="00D132BE" w:rsidP="00F641C4">
            <w:pPr>
              <w:jc w:val="right"/>
              <w:rPr>
                <w:sz w:val="22"/>
                <w:szCs w:val="22"/>
                <w:highlight w:val="yellow"/>
                <w:lang w:eastAsia="en-GB"/>
              </w:rPr>
            </w:pPr>
            <w:r>
              <w:rPr>
                <w:sz w:val="22"/>
                <w:szCs w:val="22"/>
              </w:rPr>
              <w:t>9,657</w:t>
            </w:r>
            <w:r w:rsidR="00F641C4" w:rsidRPr="00211CB7">
              <w:rPr>
                <w:sz w:val="22"/>
                <w:szCs w:val="22"/>
              </w:rPr>
              <w:t xml:space="preserve"> </w:t>
            </w:r>
          </w:p>
        </w:tc>
        <w:tc>
          <w:tcPr>
            <w:tcW w:w="1276" w:type="dxa"/>
          </w:tcPr>
          <w:p w14:paraId="10482ADF" w14:textId="3E208A1A" w:rsidR="00F641C4" w:rsidRPr="00B96FC0" w:rsidRDefault="00D132BE" w:rsidP="00F641C4">
            <w:pPr>
              <w:jc w:val="right"/>
              <w:rPr>
                <w:sz w:val="22"/>
                <w:szCs w:val="22"/>
                <w:highlight w:val="yellow"/>
                <w:lang w:eastAsia="en-GB"/>
              </w:rPr>
            </w:pPr>
            <w:r>
              <w:rPr>
                <w:sz w:val="22"/>
                <w:szCs w:val="22"/>
              </w:rPr>
              <w:t>7,576</w:t>
            </w:r>
          </w:p>
        </w:tc>
        <w:tc>
          <w:tcPr>
            <w:tcW w:w="1276" w:type="dxa"/>
          </w:tcPr>
          <w:p w14:paraId="1FC5623D" w14:textId="4E030600" w:rsidR="00F641C4" w:rsidRPr="00B96FC0" w:rsidRDefault="00D132BE" w:rsidP="00F641C4">
            <w:pPr>
              <w:jc w:val="right"/>
              <w:rPr>
                <w:sz w:val="22"/>
                <w:szCs w:val="22"/>
                <w:highlight w:val="yellow"/>
                <w:lang w:eastAsia="en-GB"/>
              </w:rPr>
            </w:pPr>
            <w:r>
              <w:rPr>
                <w:sz w:val="22"/>
                <w:szCs w:val="22"/>
              </w:rPr>
              <w:t>7,893</w:t>
            </w:r>
            <w:r w:rsidR="00F641C4" w:rsidRPr="00211CB7">
              <w:rPr>
                <w:sz w:val="22"/>
                <w:szCs w:val="22"/>
              </w:rPr>
              <w:t xml:space="preserve"> </w:t>
            </w:r>
          </w:p>
        </w:tc>
      </w:tr>
      <w:tr w:rsidR="007C01D4" w:rsidRPr="00B96FC0" w14:paraId="44831B17" w14:textId="21FE6F84" w:rsidTr="00211CB7">
        <w:trPr>
          <w:trHeight w:val="288"/>
        </w:trPr>
        <w:tc>
          <w:tcPr>
            <w:tcW w:w="2737" w:type="dxa"/>
            <w:shd w:val="clear" w:color="auto" w:fill="auto"/>
            <w:noWrap/>
            <w:vAlign w:val="bottom"/>
          </w:tcPr>
          <w:p w14:paraId="631B2669" w14:textId="77777777" w:rsidR="007C01D4" w:rsidRPr="001214BA" w:rsidRDefault="007C01D4" w:rsidP="007C01D4">
            <w:pPr>
              <w:rPr>
                <w:rFonts w:cs="Arial"/>
                <w:b/>
                <w:color w:val="000000"/>
                <w:sz w:val="22"/>
                <w:szCs w:val="22"/>
                <w:lang w:eastAsia="en-GB"/>
              </w:rPr>
            </w:pPr>
            <w:r w:rsidRPr="001214BA">
              <w:rPr>
                <w:rFonts w:cs="Arial"/>
                <w:b/>
                <w:color w:val="000000"/>
                <w:sz w:val="22"/>
                <w:szCs w:val="22"/>
                <w:lang w:eastAsia="en-GB"/>
              </w:rPr>
              <w:t>(Surplus)/Deficit for the Year</w:t>
            </w:r>
          </w:p>
        </w:tc>
        <w:tc>
          <w:tcPr>
            <w:tcW w:w="1275" w:type="dxa"/>
            <w:shd w:val="clear" w:color="auto" w:fill="auto"/>
            <w:noWrap/>
            <w:vAlign w:val="center"/>
          </w:tcPr>
          <w:p w14:paraId="69A3FA1C" w14:textId="119D1845" w:rsidR="007C01D4" w:rsidRPr="00173FED" w:rsidRDefault="007C01D4" w:rsidP="007C01D4">
            <w:pPr>
              <w:jc w:val="right"/>
              <w:rPr>
                <w:b/>
                <w:bCs/>
                <w:sz w:val="22"/>
                <w:szCs w:val="22"/>
                <w:highlight w:val="yellow"/>
                <w:lang w:eastAsia="en-GB"/>
              </w:rPr>
            </w:pPr>
            <w:r w:rsidRPr="00211CB7">
              <w:rPr>
                <w:b/>
                <w:bCs/>
                <w:sz w:val="22"/>
                <w:szCs w:val="22"/>
              </w:rPr>
              <w:t>(1,197)</w:t>
            </w:r>
          </w:p>
        </w:tc>
        <w:tc>
          <w:tcPr>
            <w:tcW w:w="1276" w:type="dxa"/>
            <w:shd w:val="clear" w:color="auto" w:fill="auto"/>
            <w:noWrap/>
            <w:vAlign w:val="center"/>
          </w:tcPr>
          <w:p w14:paraId="52BF026D" w14:textId="47ED2D84" w:rsidR="007C01D4" w:rsidRPr="00173FED" w:rsidRDefault="007C01D4" w:rsidP="007C01D4">
            <w:pPr>
              <w:jc w:val="right"/>
              <w:rPr>
                <w:b/>
                <w:bCs/>
                <w:sz w:val="22"/>
                <w:szCs w:val="22"/>
                <w:highlight w:val="yellow"/>
                <w:lang w:eastAsia="en-GB"/>
              </w:rPr>
            </w:pPr>
            <w:r w:rsidRPr="00211CB7">
              <w:rPr>
                <w:b/>
                <w:bCs/>
                <w:sz w:val="22"/>
                <w:szCs w:val="22"/>
              </w:rPr>
              <w:t xml:space="preserve">452 </w:t>
            </w:r>
          </w:p>
        </w:tc>
        <w:tc>
          <w:tcPr>
            <w:tcW w:w="1276" w:type="dxa"/>
            <w:shd w:val="clear" w:color="auto" w:fill="auto"/>
            <w:noWrap/>
            <w:vAlign w:val="center"/>
          </w:tcPr>
          <w:p w14:paraId="04CCEBEA" w14:textId="4E45CDB5" w:rsidR="007C01D4" w:rsidRPr="00173FED" w:rsidRDefault="00D132BE" w:rsidP="007C01D4">
            <w:pPr>
              <w:jc w:val="right"/>
              <w:rPr>
                <w:b/>
                <w:bCs/>
                <w:sz w:val="22"/>
                <w:szCs w:val="22"/>
                <w:highlight w:val="yellow"/>
                <w:lang w:eastAsia="en-GB"/>
              </w:rPr>
            </w:pPr>
            <w:r>
              <w:rPr>
                <w:b/>
                <w:bCs/>
                <w:sz w:val="22"/>
                <w:szCs w:val="22"/>
              </w:rPr>
              <w:t>1,817</w:t>
            </w:r>
            <w:r w:rsidR="007C01D4" w:rsidRPr="00211CB7">
              <w:rPr>
                <w:b/>
                <w:bCs/>
                <w:sz w:val="22"/>
                <w:szCs w:val="22"/>
              </w:rPr>
              <w:t xml:space="preserve"> </w:t>
            </w:r>
          </w:p>
        </w:tc>
        <w:tc>
          <w:tcPr>
            <w:tcW w:w="1276" w:type="dxa"/>
            <w:vAlign w:val="center"/>
          </w:tcPr>
          <w:p w14:paraId="6C0C64DC" w14:textId="73F71EAD" w:rsidR="007C01D4" w:rsidRPr="00173FED" w:rsidRDefault="007C01D4" w:rsidP="007C01D4">
            <w:pPr>
              <w:jc w:val="right"/>
              <w:rPr>
                <w:b/>
                <w:bCs/>
                <w:sz w:val="22"/>
                <w:szCs w:val="22"/>
                <w:highlight w:val="yellow"/>
                <w:lang w:eastAsia="en-GB"/>
              </w:rPr>
            </w:pPr>
            <w:r w:rsidRPr="00211CB7">
              <w:rPr>
                <w:b/>
                <w:bCs/>
                <w:sz w:val="22"/>
                <w:szCs w:val="22"/>
              </w:rPr>
              <w:t>(</w:t>
            </w:r>
            <w:r w:rsidR="00D132BE">
              <w:rPr>
                <w:b/>
                <w:bCs/>
                <w:sz w:val="22"/>
                <w:szCs w:val="22"/>
              </w:rPr>
              <w:t>717</w:t>
            </w:r>
            <w:r w:rsidRPr="00211CB7">
              <w:rPr>
                <w:b/>
                <w:bCs/>
                <w:sz w:val="22"/>
                <w:szCs w:val="22"/>
              </w:rPr>
              <w:t>)</w:t>
            </w:r>
          </w:p>
        </w:tc>
        <w:tc>
          <w:tcPr>
            <w:tcW w:w="1276" w:type="dxa"/>
            <w:vAlign w:val="center"/>
          </w:tcPr>
          <w:p w14:paraId="3908D852" w14:textId="4B7444F1" w:rsidR="007C01D4" w:rsidRPr="00173FED" w:rsidRDefault="007C01D4" w:rsidP="007C01D4">
            <w:pPr>
              <w:jc w:val="right"/>
              <w:rPr>
                <w:b/>
                <w:bCs/>
                <w:sz w:val="22"/>
                <w:szCs w:val="22"/>
                <w:highlight w:val="yellow"/>
                <w:lang w:eastAsia="en-GB"/>
              </w:rPr>
            </w:pPr>
            <w:r w:rsidRPr="00211CB7">
              <w:rPr>
                <w:b/>
                <w:bCs/>
                <w:sz w:val="22"/>
                <w:szCs w:val="22"/>
              </w:rPr>
              <w:t>4</w:t>
            </w:r>
            <w:r w:rsidR="00D132BE">
              <w:rPr>
                <w:b/>
                <w:bCs/>
                <w:sz w:val="22"/>
                <w:szCs w:val="22"/>
              </w:rPr>
              <w:t>2</w:t>
            </w:r>
            <w:r w:rsidRPr="00211CB7">
              <w:rPr>
                <w:b/>
                <w:bCs/>
                <w:sz w:val="22"/>
                <w:szCs w:val="22"/>
              </w:rPr>
              <w:t xml:space="preserve">3 </w:t>
            </w:r>
          </w:p>
        </w:tc>
      </w:tr>
      <w:tr w:rsidR="00495E37" w:rsidRPr="00B96FC0" w14:paraId="531A7E42" w14:textId="4C57F8CE" w:rsidTr="003C0EA0">
        <w:trPr>
          <w:trHeight w:val="288"/>
        </w:trPr>
        <w:tc>
          <w:tcPr>
            <w:tcW w:w="2737" w:type="dxa"/>
            <w:shd w:val="clear" w:color="auto" w:fill="auto"/>
            <w:noWrap/>
            <w:vAlign w:val="bottom"/>
          </w:tcPr>
          <w:p w14:paraId="74B32C33" w14:textId="77777777" w:rsidR="00495E37" w:rsidRPr="001214BA" w:rsidRDefault="00495E37" w:rsidP="00495E37">
            <w:pPr>
              <w:rPr>
                <w:rFonts w:cs="Arial"/>
                <w:color w:val="000000"/>
                <w:sz w:val="22"/>
                <w:szCs w:val="22"/>
                <w:lang w:eastAsia="en-GB"/>
              </w:rPr>
            </w:pPr>
          </w:p>
        </w:tc>
        <w:tc>
          <w:tcPr>
            <w:tcW w:w="1275" w:type="dxa"/>
            <w:shd w:val="clear" w:color="auto" w:fill="auto"/>
            <w:noWrap/>
            <w:vAlign w:val="center"/>
          </w:tcPr>
          <w:p w14:paraId="3E46B663" w14:textId="77777777" w:rsidR="00495E37" w:rsidRPr="00B96FC0" w:rsidRDefault="00495E37" w:rsidP="003C0EA0">
            <w:pPr>
              <w:jc w:val="right"/>
              <w:rPr>
                <w:sz w:val="22"/>
                <w:szCs w:val="22"/>
                <w:highlight w:val="yellow"/>
                <w:lang w:eastAsia="en-GB"/>
              </w:rPr>
            </w:pPr>
          </w:p>
        </w:tc>
        <w:tc>
          <w:tcPr>
            <w:tcW w:w="1276" w:type="dxa"/>
            <w:shd w:val="clear" w:color="auto" w:fill="auto"/>
            <w:noWrap/>
            <w:vAlign w:val="center"/>
          </w:tcPr>
          <w:p w14:paraId="39CFD17A" w14:textId="77777777" w:rsidR="00495E37" w:rsidRPr="00B96FC0" w:rsidRDefault="00495E37" w:rsidP="003C0EA0">
            <w:pPr>
              <w:jc w:val="right"/>
              <w:rPr>
                <w:sz w:val="22"/>
                <w:szCs w:val="22"/>
                <w:highlight w:val="yellow"/>
                <w:lang w:eastAsia="en-GB"/>
              </w:rPr>
            </w:pPr>
          </w:p>
        </w:tc>
        <w:tc>
          <w:tcPr>
            <w:tcW w:w="1276" w:type="dxa"/>
            <w:shd w:val="clear" w:color="auto" w:fill="auto"/>
            <w:noWrap/>
            <w:vAlign w:val="center"/>
          </w:tcPr>
          <w:p w14:paraId="74A4032B" w14:textId="77777777" w:rsidR="00495E37" w:rsidRPr="00B96FC0" w:rsidRDefault="00495E37" w:rsidP="003C0EA0">
            <w:pPr>
              <w:jc w:val="right"/>
              <w:rPr>
                <w:sz w:val="22"/>
                <w:szCs w:val="22"/>
                <w:highlight w:val="yellow"/>
                <w:lang w:eastAsia="en-GB"/>
              </w:rPr>
            </w:pPr>
          </w:p>
        </w:tc>
        <w:tc>
          <w:tcPr>
            <w:tcW w:w="1276" w:type="dxa"/>
            <w:vAlign w:val="center"/>
          </w:tcPr>
          <w:p w14:paraId="4E08C0DD" w14:textId="77777777" w:rsidR="00495E37" w:rsidRPr="00B96FC0" w:rsidRDefault="00495E37" w:rsidP="003C0EA0">
            <w:pPr>
              <w:jc w:val="right"/>
              <w:rPr>
                <w:sz w:val="22"/>
                <w:szCs w:val="22"/>
                <w:highlight w:val="yellow"/>
                <w:lang w:eastAsia="en-GB"/>
              </w:rPr>
            </w:pPr>
          </w:p>
        </w:tc>
        <w:tc>
          <w:tcPr>
            <w:tcW w:w="1276" w:type="dxa"/>
            <w:vAlign w:val="center"/>
          </w:tcPr>
          <w:p w14:paraId="65F0C7D5" w14:textId="77777777" w:rsidR="00495E37" w:rsidRPr="00B96FC0" w:rsidRDefault="00495E37" w:rsidP="003C0EA0">
            <w:pPr>
              <w:jc w:val="right"/>
              <w:rPr>
                <w:sz w:val="22"/>
                <w:szCs w:val="22"/>
                <w:highlight w:val="yellow"/>
                <w:lang w:eastAsia="en-GB"/>
              </w:rPr>
            </w:pPr>
          </w:p>
        </w:tc>
      </w:tr>
      <w:tr w:rsidR="00D42880" w:rsidRPr="00B96FC0" w14:paraId="589384E2" w14:textId="0C527F0E">
        <w:trPr>
          <w:trHeight w:val="288"/>
        </w:trPr>
        <w:tc>
          <w:tcPr>
            <w:tcW w:w="2737" w:type="dxa"/>
            <w:shd w:val="clear" w:color="auto" w:fill="auto"/>
            <w:noWrap/>
            <w:vAlign w:val="bottom"/>
          </w:tcPr>
          <w:p w14:paraId="3A6A8AB6" w14:textId="77777777" w:rsidR="00D42880" w:rsidRPr="001214BA" w:rsidRDefault="00D42880" w:rsidP="00D42880">
            <w:pPr>
              <w:rPr>
                <w:rFonts w:cs="Arial"/>
                <w:color w:val="000000"/>
                <w:sz w:val="22"/>
                <w:szCs w:val="22"/>
                <w:lang w:eastAsia="en-GB"/>
              </w:rPr>
            </w:pPr>
            <w:r w:rsidRPr="001214BA">
              <w:rPr>
                <w:rFonts w:cs="Arial"/>
                <w:color w:val="000000"/>
                <w:sz w:val="22"/>
                <w:szCs w:val="22"/>
                <w:lang w:eastAsia="en-GB"/>
              </w:rPr>
              <w:lastRenderedPageBreak/>
              <w:t>(Surplus)/Deficit b/</w:t>
            </w:r>
            <w:proofErr w:type="spellStart"/>
            <w:r w:rsidRPr="001214BA">
              <w:rPr>
                <w:rFonts w:cs="Arial"/>
                <w:color w:val="000000"/>
                <w:sz w:val="22"/>
                <w:szCs w:val="22"/>
                <w:lang w:eastAsia="en-GB"/>
              </w:rPr>
              <w:t>fwd</w:t>
            </w:r>
            <w:proofErr w:type="spellEnd"/>
          </w:p>
        </w:tc>
        <w:tc>
          <w:tcPr>
            <w:tcW w:w="1275" w:type="dxa"/>
            <w:shd w:val="clear" w:color="auto" w:fill="auto"/>
            <w:noWrap/>
            <w:vAlign w:val="center"/>
          </w:tcPr>
          <w:p w14:paraId="660466E9" w14:textId="2DEF49CC" w:rsidR="00D42880" w:rsidRPr="00211CB7" w:rsidRDefault="00D42880" w:rsidP="00D42880">
            <w:pPr>
              <w:jc w:val="right"/>
              <w:rPr>
                <w:sz w:val="22"/>
                <w:szCs w:val="22"/>
                <w:lang w:eastAsia="en-GB"/>
              </w:rPr>
            </w:pPr>
            <w:r w:rsidRPr="00211CB7">
              <w:rPr>
                <w:sz w:val="22"/>
                <w:szCs w:val="22"/>
                <w:lang w:eastAsia="en-GB"/>
              </w:rPr>
              <w:t>(4,752)</w:t>
            </w:r>
          </w:p>
        </w:tc>
        <w:tc>
          <w:tcPr>
            <w:tcW w:w="1276" w:type="dxa"/>
            <w:shd w:val="clear" w:color="auto" w:fill="auto"/>
            <w:noWrap/>
          </w:tcPr>
          <w:p w14:paraId="51ECE956" w14:textId="37E46A37" w:rsidR="00D42880" w:rsidRPr="00211CB7" w:rsidRDefault="00D42880" w:rsidP="00D42880">
            <w:pPr>
              <w:jc w:val="right"/>
              <w:rPr>
                <w:sz w:val="22"/>
                <w:szCs w:val="22"/>
                <w:lang w:eastAsia="en-GB"/>
              </w:rPr>
            </w:pPr>
            <w:r w:rsidRPr="00211CB7">
              <w:rPr>
                <w:sz w:val="22"/>
                <w:szCs w:val="22"/>
              </w:rPr>
              <w:t>(5,949)</w:t>
            </w:r>
          </w:p>
        </w:tc>
        <w:tc>
          <w:tcPr>
            <w:tcW w:w="1276" w:type="dxa"/>
            <w:shd w:val="clear" w:color="auto" w:fill="auto"/>
            <w:noWrap/>
          </w:tcPr>
          <w:p w14:paraId="08C06947" w14:textId="2F0C7120" w:rsidR="00D42880" w:rsidRPr="00211CB7" w:rsidRDefault="00D42880" w:rsidP="00D42880">
            <w:pPr>
              <w:jc w:val="right"/>
              <w:rPr>
                <w:sz w:val="22"/>
                <w:szCs w:val="22"/>
                <w:lang w:eastAsia="en-GB"/>
              </w:rPr>
            </w:pPr>
            <w:r w:rsidRPr="00211CB7">
              <w:rPr>
                <w:sz w:val="22"/>
                <w:szCs w:val="22"/>
              </w:rPr>
              <w:t>(5,497)</w:t>
            </w:r>
          </w:p>
        </w:tc>
        <w:tc>
          <w:tcPr>
            <w:tcW w:w="1276" w:type="dxa"/>
          </w:tcPr>
          <w:p w14:paraId="08C89501" w14:textId="0C1F9C8B" w:rsidR="00D42880" w:rsidRPr="00211CB7" w:rsidRDefault="00D42880" w:rsidP="00D42880">
            <w:pPr>
              <w:jc w:val="right"/>
              <w:rPr>
                <w:sz w:val="22"/>
                <w:szCs w:val="22"/>
                <w:lang w:eastAsia="en-GB"/>
              </w:rPr>
            </w:pPr>
            <w:r w:rsidRPr="00211CB7">
              <w:rPr>
                <w:sz w:val="22"/>
                <w:szCs w:val="22"/>
              </w:rPr>
              <w:t>(</w:t>
            </w:r>
            <w:r w:rsidR="00D132BE">
              <w:rPr>
                <w:sz w:val="22"/>
                <w:szCs w:val="22"/>
              </w:rPr>
              <w:t>3,680</w:t>
            </w:r>
            <w:r w:rsidRPr="00211CB7">
              <w:rPr>
                <w:sz w:val="22"/>
                <w:szCs w:val="22"/>
              </w:rPr>
              <w:t>)</w:t>
            </w:r>
          </w:p>
        </w:tc>
        <w:tc>
          <w:tcPr>
            <w:tcW w:w="1276" w:type="dxa"/>
          </w:tcPr>
          <w:p w14:paraId="53E10165" w14:textId="567D6765" w:rsidR="00D42880" w:rsidRPr="00211CB7" w:rsidRDefault="00D42880" w:rsidP="00D42880">
            <w:pPr>
              <w:jc w:val="right"/>
              <w:rPr>
                <w:sz w:val="22"/>
                <w:szCs w:val="22"/>
                <w:lang w:eastAsia="en-GB"/>
              </w:rPr>
            </w:pPr>
            <w:r w:rsidRPr="00211CB7">
              <w:rPr>
                <w:sz w:val="22"/>
                <w:szCs w:val="22"/>
              </w:rPr>
              <w:t>(</w:t>
            </w:r>
            <w:r w:rsidR="00D132BE">
              <w:rPr>
                <w:sz w:val="22"/>
                <w:szCs w:val="22"/>
              </w:rPr>
              <w:t>4,397</w:t>
            </w:r>
            <w:r w:rsidRPr="00211CB7">
              <w:rPr>
                <w:sz w:val="22"/>
                <w:szCs w:val="22"/>
              </w:rPr>
              <w:t>)</w:t>
            </w:r>
          </w:p>
        </w:tc>
      </w:tr>
      <w:tr w:rsidR="00495E37" w:rsidRPr="00B96FC0" w14:paraId="10A363A7" w14:textId="795CF9BE" w:rsidTr="003C0EA0">
        <w:trPr>
          <w:trHeight w:val="288"/>
        </w:trPr>
        <w:tc>
          <w:tcPr>
            <w:tcW w:w="2737" w:type="dxa"/>
            <w:shd w:val="clear" w:color="auto" w:fill="auto"/>
            <w:noWrap/>
            <w:vAlign w:val="bottom"/>
          </w:tcPr>
          <w:p w14:paraId="2E5DC5DE" w14:textId="77777777" w:rsidR="00495E37" w:rsidRPr="001214BA" w:rsidRDefault="00495E37" w:rsidP="00495E37">
            <w:pPr>
              <w:rPr>
                <w:rFonts w:cs="Arial"/>
                <w:color w:val="000000"/>
                <w:sz w:val="22"/>
                <w:szCs w:val="22"/>
                <w:lang w:eastAsia="en-GB"/>
              </w:rPr>
            </w:pPr>
          </w:p>
        </w:tc>
        <w:tc>
          <w:tcPr>
            <w:tcW w:w="1275" w:type="dxa"/>
            <w:shd w:val="clear" w:color="auto" w:fill="auto"/>
            <w:noWrap/>
            <w:vAlign w:val="center"/>
          </w:tcPr>
          <w:p w14:paraId="6E4B9843" w14:textId="77777777" w:rsidR="00495E37" w:rsidRPr="00211CB7" w:rsidRDefault="00495E37" w:rsidP="003C0EA0">
            <w:pPr>
              <w:jc w:val="right"/>
              <w:rPr>
                <w:sz w:val="22"/>
                <w:szCs w:val="22"/>
                <w:lang w:eastAsia="en-GB"/>
              </w:rPr>
            </w:pPr>
          </w:p>
          <w:p w14:paraId="651D4576" w14:textId="77777777" w:rsidR="00495E37" w:rsidRPr="00211CB7" w:rsidRDefault="00495E37" w:rsidP="003C0EA0">
            <w:pPr>
              <w:jc w:val="right"/>
              <w:rPr>
                <w:sz w:val="22"/>
                <w:szCs w:val="22"/>
                <w:lang w:eastAsia="en-GB"/>
              </w:rPr>
            </w:pPr>
          </w:p>
        </w:tc>
        <w:tc>
          <w:tcPr>
            <w:tcW w:w="1276" w:type="dxa"/>
            <w:shd w:val="clear" w:color="auto" w:fill="auto"/>
            <w:noWrap/>
            <w:vAlign w:val="center"/>
          </w:tcPr>
          <w:p w14:paraId="2EFEBB47" w14:textId="77777777" w:rsidR="00495E37" w:rsidRPr="00211CB7" w:rsidRDefault="00495E37" w:rsidP="003C0EA0">
            <w:pPr>
              <w:jc w:val="right"/>
              <w:rPr>
                <w:sz w:val="22"/>
                <w:szCs w:val="22"/>
                <w:lang w:eastAsia="en-GB"/>
              </w:rPr>
            </w:pPr>
          </w:p>
          <w:p w14:paraId="7D634C7C" w14:textId="77777777" w:rsidR="00495E37" w:rsidRPr="00211CB7" w:rsidRDefault="00495E37" w:rsidP="003C0EA0">
            <w:pPr>
              <w:jc w:val="right"/>
              <w:rPr>
                <w:sz w:val="22"/>
                <w:szCs w:val="22"/>
                <w:lang w:eastAsia="en-GB"/>
              </w:rPr>
            </w:pPr>
          </w:p>
        </w:tc>
        <w:tc>
          <w:tcPr>
            <w:tcW w:w="1276" w:type="dxa"/>
            <w:shd w:val="clear" w:color="auto" w:fill="auto"/>
            <w:noWrap/>
            <w:vAlign w:val="center"/>
          </w:tcPr>
          <w:p w14:paraId="657A2C01" w14:textId="77777777" w:rsidR="00495E37" w:rsidRPr="00211CB7" w:rsidRDefault="00495E37" w:rsidP="003C0EA0">
            <w:pPr>
              <w:jc w:val="right"/>
              <w:rPr>
                <w:sz w:val="22"/>
                <w:szCs w:val="22"/>
                <w:lang w:eastAsia="en-GB"/>
              </w:rPr>
            </w:pPr>
          </w:p>
          <w:p w14:paraId="1AF6FF0D" w14:textId="77777777" w:rsidR="00495E37" w:rsidRPr="00211CB7" w:rsidRDefault="00495E37" w:rsidP="003C0EA0">
            <w:pPr>
              <w:jc w:val="right"/>
              <w:rPr>
                <w:sz w:val="22"/>
                <w:szCs w:val="22"/>
                <w:lang w:eastAsia="en-GB"/>
              </w:rPr>
            </w:pPr>
          </w:p>
        </w:tc>
        <w:tc>
          <w:tcPr>
            <w:tcW w:w="1276" w:type="dxa"/>
            <w:vAlign w:val="center"/>
          </w:tcPr>
          <w:p w14:paraId="025A21F4" w14:textId="77777777" w:rsidR="00495E37" w:rsidRPr="00211CB7" w:rsidRDefault="00495E37" w:rsidP="003C0EA0">
            <w:pPr>
              <w:jc w:val="right"/>
              <w:rPr>
                <w:sz w:val="22"/>
                <w:szCs w:val="22"/>
                <w:lang w:eastAsia="en-GB"/>
              </w:rPr>
            </w:pPr>
          </w:p>
        </w:tc>
        <w:tc>
          <w:tcPr>
            <w:tcW w:w="1276" w:type="dxa"/>
            <w:vAlign w:val="center"/>
          </w:tcPr>
          <w:p w14:paraId="7EE5ECF3" w14:textId="77777777" w:rsidR="00495E37" w:rsidRPr="00211CB7" w:rsidRDefault="00495E37" w:rsidP="003C0EA0">
            <w:pPr>
              <w:jc w:val="right"/>
              <w:rPr>
                <w:sz w:val="22"/>
                <w:szCs w:val="22"/>
                <w:lang w:eastAsia="en-GB"/>
              </w:rPr>
            </w:pPr>
          </w:p>
        </w:tc>
      </w:tr>
      <w:tr w:rsidR="00495E37" w:rsidRPr="00D132BE" w14:paraId="5A5A94C0" w14:textId="291492F1" w:rsidTr="003C0EA0">
        <w:trPr>
          <w:trHeight w:val="288"/>
        </w:trPr>
        <w:tc>
          <w:tcPr>
            <w:tcW w:w="2737" w:type="dxa"/>
            <w:shd w:val="clear" w:color="auto" w:fill="auto"/>
            <w:noWrap/>
            <w:vAlign w:val="bottom"/>
          </w:tcPr>
          <w:p w14:paraId="6732AD8C" w14:textId="77777777" w:rsidR="00495E37" w:rsidRPr="001214BA" w:rsidRDefault="00495E37" w:rsidP="00495E37">
            <w:pPr>
              <w:rPr>
                <w:rFonts w:cs="Arial"/>
                <w:b/>
                <w:color w:val="000000"/>
                <w:sz w:val="22"/>
                <w:szCs w:val="22"/>
                <w:lang w:eastAsia="en-GB"/>
              </w:rPr>
            </w:pPr>
            <w:r w:rsidRPr="001214BA">
              <w:rPr>
                <w:rFonts w:cs="Arial"/>
                <w:b/>
                <w:color w:val="000000"/>
                <w:sz w:val="22"/>
                <w:szCs w:val="22"/>
                <w:lang w:eastAsia="en-GB"/>
              </w:rPr>
              <w:t>(Surplus)/Deficit c/</w:t>
            </w:r>
            <w:proofErr w:type="spellStart"/>
            <w:r w:rsidRPr="001214BA">
              <w:rPr>
                <w:rFonts w:cs="Arial"/>
                <w:b/>
                <w:color w:val="000000"/>
                <w:sz w:val="22"/>
                <w:szCs w:val="22"/>
                <w:lang w:eastAsia="en-GB"/>
              </w:rPr>
              <w:t>fwd</w:t>
            </w:r>
            <w:proofErr w:type="spellEnd"/>
          </w:p>
        </w:tc>
        <w:tc>
          <w:tcPr>
            <w:tcW w:w="1275" w:type="dxa"/>
            <w:shd w:val="clear" w:color="auto" w:fill="auto"/>
            <w:noWrap/>
            <w:vAlign w:val="center"/>
          </w:tcPr>
          <w:p w14:paraId="7FD1192B" w14:textId="74D4F7F6" w:rsidR="00495E37" w:rsidRPr="00211CB7" w:rsidRDefault="00495E37" w:rsidP="003C0EA0">
            <w:pPr>
              <w:jc w:val="right"/>
              <w:rPr>
                <w:b/>
                <w:sz w:val="22"/>
                <w:szCs w:val="22"/>
                <w:lang w:eastAsia="en-GB"/>
              </w:rPr>
            </w:pPr>
            <w:r w:rsidRPr="00211CB7">
              <w:rPr>
                <w:b/>
                <w:sz w:val="22"/>
                <w:szCs w:val="22"/>
                <w:lang w:eastAsia="en-GB"/>
              </w:rPr>
              <w:t>(</w:t>
            </w:r>
            <w:r w:rsidR="00D56A5C" w:rsidRPr="00211CB7">
              <w:rPr>
                <w:b/>
                <w:sz w:val="22"/>
                <w:szCs w:val="22"/>
                <w:lang w:eastAsia="en-GB"/>
              </w:rPr>
              <w:t>5,949</w:t>
            </w:r>
            <w:r w:rsidRPr="00211CB7">
              <w:rPr>
                <w:b/>
                <w:sz w:val="22"/>
                <w:szCs w:val="22"/>
                <w:lang w:eastAsia="en-GB"/>
              </w:rPr>
              <w:t>)</w:t>
            </w:r>
          </w:p>
        </w:tc>
        <w:tc>
          <w:tcPr>
            <w:tcW w:w="1276" w:type="dxa"/>
            <w:shd w:val="clear" w:color="auto" w:fill="auto"/>
            <w:noWrap/>
            <w:vAlign w:val="center"/>
          </w:tcPr>
          <w:p w14:paraId="13BF8F98" w14:textId="0DD55371" w:rsidR="00495E37" w:rsidRPr="00211CB7" w:rsidRDefault="004135FB" w:rsidP="003C0EA0">
            <w:pPr>
              <w:jc w:val="right"/>
              <w:rPr>
                <w:b/>
                <w:sz w:val="22"/>
                <w:szCs w:val="22"/>
                <w:lang w:eastAsia="en-GB"/>
              </w:rPr>
            </w:pPr>
            <w:r w:rsidRPr="00211CB7">
              <w:rPr>
                <w:b/>
                <w:sz w:val="22"/>
                <w:szCs w:val="22"/>
                <w:lang w:eastAsia="en-GB"/>
              </w:rPr>
              <w:t>(5,</w:t>
            </w:r>
            <w:r w:rsidR="00F54E4B" w:rsidRPr="00211CB7">
              <w:rPr>
                <w:b/>
                <w:sz w:val="22"/>
                <w:szCs w:val="22"/>
                <w:lang w:eastAsia="en-GB"/>
              </w:rPr>
              <w:t>497)</w:t>
            </w:r>
          </w:p>
        </w:tc>
        <w:tc>
          <w:tcPr>
            <w:tcW w:w="1276" w:type="dxa"/>
            <w:shd w:val="clear" w:color="auto" w:fill="auto"/>
            <w:noWrap/>
            <w:vAlign w:val="center"/>
          </w:tcPr>
          <w:p w14:paraId="36F46F32" w14:textId="333A671C" w:rsidR="00495E37" w:rsidRPr="00D132BE" w:rsidRDefault="004A76D0" w:rsidP="003C0EA0">
            <w:pPr>
              <w:jc w:val="right"/>
              <w:rPr>
                <w:b/>
                <w:sz w:val="22"/>
                <w:szCs w:val="22"/>
                <w:lang w:eastAsia="en-GB"/>
              </w:rPr>
            </w:pPr>
            <w:r w:rsidRPr="00D132BE">
              <w:rPr>
                <w:b/>
                <w:sz w:val="22"/>
                <w:szCs w:val="22"/>
                <w:lang w:eastAsia="en-GB"/>
              </w:rPr>
              <w:t>(</w:t>
            </w:r>
            <w:r w:rsidR="00D132BE" w:rsidRPr="00D132BE">
              <w:rPr>
                <w:b/>
                <w:sz w:val="22"/>
                <w:szCs w:val="22"/>
                <w:lang w:eastAsia="en-GB"/>
              </w:rPr>
              <w:t>3,680</w:t>
            </w:r>
            <w:r w:rsidRPr="00D132BE">
              <w:rPr>
                <w:b/>
                <w:sz w:val="22"/>
                <w:szCs w:val="22"/>
                <w:lang w:eastAsia="en-GB"/>
              </w:rPr>
              <w:t>)</w:t>
            </w:r>
          </w:p>
        </w:tc>
        <w:tc>
          <w:tcPr>
            <w:tcW w:w="1276" w:type="dxa"/>
            <w:vAlign w:val="center"/>
          </w:tcPr>
          <w:p w14:paraId="656EB4C8" w14:textId="0AC9BF10" w:rsidR="00495E37" w:rsidRPr="00D132BE" w:rsidRDefault="004A76D0" w:rsidP="003C0EA0">
            <w:pPr>
              <w:jc w:val="right"/>
              <w:rPr>
                <w:b/>
                <w:sz w:val="22"/>
                <w:szCs w:val="22"/>
                <w:lang w:eastAsia="en-GB"/>
              </w:rPr>
            </w:pPr>
            <w:r w:rsidRPr="00D132BE">
              <w:rPr>
                <w:b/>
                <w:sz w:val="22"/>
                <w:szCs w:val="22"/>
                <w:lang w:eastAsia="en-GB"/>
              </w:rPr>
              <w:t>(</w:t>
            </w:r>
            <w:r w:rsidR="00D132BE" w:rsidRPr="00D132BE">
              <w:rPr>
                <w:b/>
                <w:sz w:val="22"/>
                <w:szCs w:val="22"/>
                <w:lang w:eastAsia="en-GB"/>
              </w:rPr>
              <w:t>4,397</w:t>
            </w:r>
            <w:r w:rsidR="00D42880" w:rsidRPr="00D132BE">
              <w:rPr>
                <w:b/>
                <w:sz w:val="22"/>
                <w:szCs w:val="22"/>
                <w:lang w:eastAsia="en-GB"/>
              </w:rPr>
              <w:t>)</w:t>
            </w:r>
          </w:p>
        </w:tc>
        <w:tc>
          <w:tcPr>
            <w:tcW w:w="1276" w:type="dxa"/>
            <w:vAlign w:val="center"/>
          </w:tcPr>
          <w:p w14:paraId="1555DF13" w14:textId="355C8EA1" w:rsidR="00495E37" w:rsidRPr="00D132BE" w:rsidRDefault="00D42880" w:rsidP="003C0EA0">
            <w:pPr>
              <w:jc w:val="right"/>
              <w:rPr>
                <w:b/>
                <w:sz w:val="22"/>
                <w:szCs w:val="22"/>
                <w:lang w:eastAsia="en-GB"/>
              </w:rPr>
            </w:pPr>
            <w:r w:rsidRPr="00D132BE">
              <w:rPr>
                <w:b/>
                <w:sz w:val="22"/>
                <w:szCs w:val="22"/>
                <w:lang w:eastAsia="en-GB"/>
              </w:rPr>
              <w:t>(</w:t>
            </w:r>
            <w:r w:rsidR="00D132BE" w:rsidRPr="00D132BE">
              <w:rPr>
                <w:b/>
                <w:sz w:val="22"/>
                <w:szCs w:val="22"/>
                <w:lang w:eastAsia="en-GB"/>
              </w:rPr>
              <w:t>3</w:t>
            </w:r>
            <w:r w:rsidRPr="00D132BE">
              <w:rPr>
                <w:b/>
                <w:sz w:val="22"/>
                <w:szCs w:val="22"/>
                <w:lang w:eastAsia="en-GB"/>
              </w:rPr>
              <w:t>,9</w:t>
            </w:r>
            <w:r w:rsidR="00D132BE" w:rsidRPr="00D132BE">
              <w:rPr>
                <w:b/>
                <w:sz w:val="22"/>
                <w:szCs w:val="22"/>
                <w:lang w:eastAsia="en-GB"/>
              </w:rPr>
              <w:t>74</w:t>
            </w:r>
            <w:r w:rsidRPr="00D132BE">
              <w:rPr>
                <w:b/>
                <w:sz w:val="22"/>
                <w:szCs w:val="22"/>
                <w:lang w:eastAsia="en-GB"/>
              </w:rPr>
              <w:t>)</w:t>
            </w:r>
          </w:p>
        </w:tc>
      </w:tr>
      <w:tr w:rsidR="00495E37" w:rsidRPr="00B96FC0" w14:paraId="02109D79" w14:textId="60D5E5AF" w:rsidTr="00BB6761">
        <w:trPr>
          <w:trHeight w:val="288"/>
        </w:trPr>
        <w:tc>
          <w:tcPr>
            <w:tcW w:w="2737" w:type="dxa"/>
            <w:shd w:val="clear" w:color="auto" w:fill="auto"/>
            <w:noWrap/>
            <w:vAlign w:val="bottom"/>
          </w:tcPr>
          <w:p w14:paraId="60095D71" w14:textId="77777777" w:rsidR="00495E37" w:rsidRPr="00B96FC0" w:rsidRDefault="00495E37" w:rsidP="00495E37">
            <w:pPr>
              <w:rPr>
                <w:rFonts w:cs="Arial"/>
                <w:color w:val="000000"/>
                <w:sz w:val="22"/>
                <w:szCs w:val="22"/>
                <w:highlight w:val="yellow"/>
                <w:lang w:eastAsia="en-GB"/>
              </w:rPr>
            </w:pPr>
          </w:p>
        </w:tc>
        <w:tc>
          <w:tcPr>
            <w:tcW w:w="1275" w:type="dxa"/>
            <w:shd w:val="clear" w:color="auto" w:fill="auto"/>
            <w:noWrap/>
            <w:vAlign w:val="bottom"/>
          </w:tcPr>
          <w:p w14:paraId="19D54E67" w14:textId="77777777" w:rsidR="00495E37" w:rsidRPr="00B96FC0" w:rsidRDefault="00495E37" w:rsidP="00495E37">
            <w:pPr>
              <w:jc w:val="right"/>
              <w:rPr>
                <w:sz w:val="22"/>
                <w:szCs w:val="22"/>
                <w:highlight w:val="yellow"/>
                <w:lang w:eastAsia="en-GB"/>
              </w:rPr>
            </w:pPr>
          </w:p>
        </w:tc>
        <w:tc>
          <w:tcPr>
            <w:tcW w:w="1276" w:type="dxa"/>
            <w:shd w:val="clear" w:color="auto" w:fill="auto"/>
            <w:noWrap/>
            <w:vAlign w:val="bottom"/>
          </w:tcPr>
          <w:p w14:paraId="272D74ED" w14:textId="77777777" w:rsidR="00495E37" w:rsidRPr="00B96FC0" w:rsidRDefault="00495E37" w:rsidP="00495E37">
            <w:pPr>
              <w:jc w:val="right"/>
              <w:rPr>
                <w:sz w:val="22"/>
                <w:szCs w:val="22"/>
                <w:highlight w:val="yellow"/>
                <w:lang w:eastAsia="en-GB"/>
              </w:rPr>
            </w:pPr>
          </w:p>
        </w:tc>
        <w:tc>
          <w:tcPr>
            <w:tcW w:w="1276" w:type="dxa"/>
            <w:shd w:val="clear" w:color="auto" w:fill="auto"/>
            <w:noWrap/>
            <w:vAlign w:val="bottom"/>
          </w:tcPr>
          <w:p w14:paraId="15EB61B8" w14:textId="77777777" w:rsidR="00495E37" w:rsidRPr="00B96FC0" w:rsidRDefault="00495E37" w:rsidP="00495E37">
            <w:pPr>
              <w:jc w:val="right"/>
              <w:rPr>
                <w:sz w:val="22"/>
                <w:szCs w:val="22"/>
                <w:highlight w:val="yellow"/>
                <w:lang w:eastAsia="en-GB"/>
              </w:rPr>
            </w:pPr>
          </w:p>
        </w:tc>
        <w:tc>
          <w:tcPr>
            <w:tcW w:w="1276" w:type="dxa"/>
          </w:tcPr>
          <w:p w14:paraId="6613C010" w14:textId="77777777" w:rsidR="00495E37" w:rsidRPr="00B96FC0" w:rsidRDefault="00495E37" w:rsidP="00495E37">
            <w:pPr>
              <w:jc w:val="right"/>
              <w:rPr>
                <w:sz w:val="22"/>
                <w:szCs w:val="22"/>
                <w:highlight w:val="yellow"/>
                <w:lang w:eastAsia="en-GB"/>
              </w:rPr>
            </w:pPr>
          </w:p>
        </w:tc>
        <w:tc>
          <w:tcPr>
            <w:tcW w:w="1276" w:type="dxa"/>
          </w:tcPr>
          <w:p w14:paraId="08D95E58" w14:textId="77777777" w:rsidR="00495E37" w:rsidRPr="00B96FC0" w:rsidRDefault="00495E37" w:rsidP="00495E37">
            <w:pPr>
              <w:jc w:val="right"/>
              <w:rPr>
                <w:sz w:val="22"/>
                <w:szCs w:val="22"/>
                <w:highlight w:val="yellow"/>
                <w:lang w:eastAsia="en-GB"/>
              </w:rPr>
            </w:pPr>
          </w:p>
        </w:tc>
      </w:tr>
    </w:tbl>
    <w:p w14:paraId="2C897C6E" w14:textId="77777777" w:rsidR="00093D0E" w:rsidRPr="00B96FC0" w:rsidRDefault="00093D0E" w:rsidP="002A45B3">
      <w:pPr>
        <w:autoSpaceDE w:val="0"/>
        <w:autoSpaceDN w:val="0"/>
        <w:adjustRightInd w:val="0"/>
        <w:ind w:right="380"/>
        <w:jc w:val="both"/>
        <w:rPr>
          <w:rFonts w:cs="Arial"/>
          <w:b/>
          <w:highlight w:val="yellow"/>
        </w:rPr>
      </w:pPr>
    </w:p>
    <w:p w14:paraId="511A24EB" w14:textId="77777777" w:rsidR="00093D0E" w:rsidRPr="00B96FC0" w:rsidRDefault="00093D0E" w:rsidP="002A45B3">
      <w:pPr>
        <w:autoSpaceDE w:val="0"/>
        <w:autoSpaceDN w:val="0"/>
        <w:adjustRightInd w:val="0"/>
        <w:ind w:right="380"/>
        <w:jc w:val="both"/>
        <w:rPr>
          <w:rFonts w:cs="Arial"/>
          <w:b/>
          <w:highlight w:val="yellow"/>
        </w:rPr>
      </w:pPr>
    </w:p>
    <w:p w14:paraId="44A94CC0" w14:textId="77777777" w:rsidR="00902E5A" w:rsidRPr="00134F42" w:rsidRDefault="00902E5A" w:rsidP="002A45B3">
      <w:pPr>
        <w:autoSpaceDE w:val="0"/>
        <w:autoSpaceDN w:val="0"/>
        <w:adjustRightInd w:val="0"/>
        <w:ind w:right="380"/>
        <w:jc w:val="both"/>
        <w:rPr>
          <w:rFonts w:cs="Arial"/>
          <w:b/>
        </w:rPr>
      </w:pPr>
      <w:r w:rsidRPr="00134F42">
        <w:rPr>
          <w:rFonts w:cs="Arial"/>
          <w:b/>
        </w:rPr>
        <w:t>Risk Implications</w:t>
      </w:r>
    </w:p>
    <w:p w14:paraId="2DF247E1" w14:textId="77777777" w:rsidR="00902E5A" w:rsidRPr="00134F42" w:rsidRDefault="00902E5A" w:rsidP="002A45B3">
      <w:pPr>
        <w:autoSpaceDE w:val="0"/>
        <w:autoSpaceDN w:val="0"/>
        <w:adjustRightInd w:val="0"/>
        <w:ind w:left="720" w:right="380"/>
        <w:jc w:val="both"/>
        <w:rPr>
          <w:rFonts w:cs="Arial"/>
          <w:b/>
        </w:rPr>
      </w:pPr>
    </w:p>
    <w:p w14:paraId="42BC4C51" w14:textId="77777777" w:rsidR="00902E5A" w:rsidRPr="00134F42" w:rsidRDefault="396DCCBB" w:rsidP="00F42D9C">
      <w:pPr>
        <w:pStyle w:val="ListParagraph"/>
        <w:numPr>
          <w:ilvl w:val="0"/>
          <w:numId w:val="1"/>
        </w:numPr>
        <w:autoSpaceDE w:val="0"/>
        <w:autoSpaceDN w:val="0"/>
        <w:adjustRightInd w:val="0"/>
        <w:ind w:left="426" w:right="380" w:hanging="426"/>
        <w:jc w:val="both"/>
      </w:pPr>
      <w:r>
        <w:t xml:space="preserve">The main risks to the balanced position of </w:t>
      </w:r>
      <w:r w:rsidR="1337BA1B">
        <w:t xml:space="preserve">the </w:t>
      </w:r>
      <w:r w:rsidR="784E4A30">
        <w:t xml:space="preserve">HRA </w:t>
      </w:r>
      <w:r w:rsidR="5B2DC51F">
        <w:t>are</w:t>
      </w:r>
      <w:r w:rsidR="5616E388">
        <w:t xml:space="preserve"> </w:t>
      </w:r>
      <w:r w:rsidR="3FB91AB9">
        <w:t>summarised below</w:t>
      </w:r>
      <w:r w:rsidR="281E98C5">
        <w:t xml:space="preserve"> </w:t>
      </w:r>
      <w:r w:rsidR="4F91BBFD">
        <w:t>and detailed</w:t>
      </w:r>
      <w:r w:rsidR="784E4A30">
        <w:t xml:space="preserve"> in </w:t>
      </w:r>
      <w:r>
        <w:t xml:space="preserve">Appendix </w:t>
      </w:r>
      <w:r w:rsidR="6DFD7691">
        <w:t>8</w:t>
      </w:r>
      <w:r w:rsidR="3FB91AB9">
        <w:t>:</w:t>
      </w:r>
    </w:p>
    <w:p w14:paraId="4CC8A780" w14:textId="77777777" w:rsidR="00D06890" w:rsidRPr="00134F42" w:rsidRDefault="00D06890" w:rsidP="00104315">
      <w:pPr>
        <w:autoSpaceDE w:val="0"/>
        <w:autoSpaceDN w:val="0"/>
        <w:adjustRightInd w:val="0"/>
        <w:ind w:left="993" w:right="380" w:hanging="993"/>
        <w:jc w:val="both"/>
      </w:pPr>
    </w:p>
    <w:p w14:paraId="2B8CE2C2" w14:textId="3D33ACF0" w:rsidR="006A45E5" w:rsidRPr="00134F42" w:rsidRDefault="006A45E5" w:rsidP="009046B9">
      <w:pPr>
        <w:numPr>
          <w:ilvl w:val="0"/>
          <w:numId w:val="18"/>
        </w:numPr>
        <w:tabs>
          <w:tab w:val="clear" w:pos="1080"/>
        </w:tabs>
        <w:autoSpaceDE w:val="0"/>
        <w:autoSpaceDN w:val="0"/>
        <w:adjustRightInd w:val="0"/>
        <w:ind w:left="1985" w:right="380" w:hanging="284"/>
        <w:rPr>
          <w:rFonts w:cs="Arial"/>
        </w:rPr>
      </w:pPr>
      <w:r w:rsidRPr="00134F42">
        <w:rPr>
          <w:rFonts w:cs="Arial"/>
        </w:rPr>
        <w:t xml:space="preserve">The government introduces a rent cap which is less than </w:t>
      </w:r>
      <w:r w:rsidR="00041422" w:rsidRPr="00134F42">
        <w:rPr>
          <w:rFonts w:cs="Arial"/>
        </w:rPr>
        <w:t>2</w:t>
      </w:r>
      <w:r w:rsidRPr="00134F42">
        <w:rPr>
          <w:rFonts w:cs="Arial"/>
        </w:rPr>
        <w:t>.7%</w:t>
      </w:r>
      <w:r w:rsidR="00140E24" w:rsidRPr="00134F42">
        <w:rPr>
          <w:rFonts w:cs="Arial"/>
        </w:rPr>
        <w:t>.</w:t>
      </w:r>
    </w:p>
    <w:p w14:paraId="48CEBECE" w14:textId="31EB490B" w:rsidR="00902E5A" w:rsidRPr="00134F42" w:rsidRDefault="00902E5A" w:rsidP="009046B9">
      <w:pPr>
        <w:numPr>
          <w:ilvl w:val="3"/>
          <w:numId w:val="18"/>
        </w:numPr>
        <w:tabs>
          <w:tab w:val="clear" w:pos="2880"/>
          <w:tab w:val="num" w:pos="3447"/>
        </w:tabs>
        <w:autoSpaceDE w:val="0"/>
        <w:autoSpaceDN w:val="0"/>
        <w:adjustRightInd w:val="0"/>
        <w:ind w:left="1985" w:right="380" w:hanging="284"/>
        <w:rPr>
          <w:rFonts w:cs="Arial"/>
        </w:rPr>
      </w:pPr>
      <w:r w:rsidRPr="00134F42">
        <w:rPr>
          <w:rFonts w:cs="Arial"/>
        </w:rPr>
        <w:t xml:space="preserve">Increased arrears due to </w:t>
      </w:r>
      <w:r w:rsidR="002468A6" w:rsidRPr="00134F42">
        <w:rPr>
          <w:rFonts w:cs="Arial"/>
        </w:rPr>
        <w:t>benefit changes</w:t>
      </w:r>
    </w:p>
    <w:p w14:paraId="3E7AAE7E" w14:textId="62EEB5D5" w:rsidR="00603CCF" w:rsidRPr="00134F42" w:rsidRDefault="00603CCF" w:rsidP="009046B9">
      <w:pPr>
        <w:numPr>
          <w:ilvl w:val="3"/>
          <w:numId w:val="18"/>
        </w:numPr>
        <w:tabs>
          <w:tab w:val="clear" w:pos="2880"/>
          <w:tab w:val="num" w:pos="3447"/>
        </w:tabs>
        <w:autoSpaceDE w:val="0"/>
        <w:autoSpaceDN w:val="0"/>
        <w:adjustRightInd w:val="0"/>
        <w:ind w:left="1985" w:right="380" w:hanging="284"/>
        <w:rPr>
          <w:rFonts w:cs="Arial"/>
        </w:rPr>
      </w:pPr>
      <w:r w:rsidRPr="00134F42">
        <w:rPr>
          <w:rFonts w:cs="Arial"/>
        </w:rPr>
        <w:t>Construction delays in Housing Company and subsequent effect on capital spend on new housing and net rental streams</w:t>
      </w:r>
      <w:r w:rsidR="00140E24" w:rsidRPr="00134F42">
        <w:rPr>
          <w:rFonts w:cs="Arial"/>
        </w:rPr>
        <w:t>.</w:t>
      </w:r>
    </w:p>
    <w:p w14:paraId="0384E075" w14:textId="7AC28E86" w:rsidR="00921B4B" w:rsidRPr="00134F42" w:rsidRDefault="00921B4B" w:rsidP="009046B9">
      <w:pPr>
        <w:numPr>
          <w:ilvl w:val="3"/>
          <w:numId w:val="18"/>
        </w:numPr>
        <w:tabs>
          <w:tab w:val="num" w:pos="2268"/>
        </w:tabs>
        <w:autoSpaceDE w:val="0"/>
        <w:autoSpaceDN w:val="0"/>
        <w:adjustRightInd w:val="0"/>
        <w:ind w:left="1985" w:right="380" w:hanging="284"/>
        <w:jc w:val="both"/>
        <w:rPr>
          <w:rFonts w:cs="Arial"/>
        </w:rPr>
      </w:pPr>
      <w:r w:rsidRPr="00134F42">
        <w:rPr>
          <w:rFonts w:cs="Arial"/>
        </w:rPr>
        <w:t>Variations in estimates causing cash flow problems</w:t>
      </w:r>
      <w:r w:rsidR="00140E24" w:rsidRPr="00134F42">
        <w:rPr>
          <w:rFonts w:cs="Arial"/>
        </w:rPr>
        <w:t>.</w:t>
      </w:r>
    </w:p>
    <w:p w14:paraId="1BA3A353" w14:textId="77777777" w:rsidR="002B7D72" w:rsidRPr="00B96FC0" w:rsidRDefault="002B7D72" w:rsidP="00104315">
      <w:pPr>
        <w:autoSpaceDE w:val="0"/>
        <w:autoSpaceDN w:val="0"/>
        <w:adjustRightInd w:val="0"/>
        <w:ind w:left="1985" w:right="380" w:hanging="284"/>
        <w:jc w:val="both"/>
        <w:rPr>
          <w:rFonts w:cs="Arial"/>
          <w:highlight w:val="yellow"/>
        </w:rPr>
      </w:pPr>
    </w:p>
    <w:p w14:paraId="6FBD712E" w14:textId="77777777" w:rsidR="00C35200" w:rsidRPr="00493AA8" w:rsidRDefault="00C35200" w:rsidP="006D7F45">
      <w:pPr>
        <w:autoSpaceDE w:val="0"/>
        <w:autoSpaceDN w:val="0"/>
        <w:adjustRightInd w:val="0"/>
        <w:ind w:left="709" w:right="380" w:hanging="709"/>
        <w:jc w:val="both"/>
        <w:rPr>
          <w:rFonts w:cs="Arial"/>
        </w:rPr>
      </w:pPr>
    </w:p>
    <w:p w14:paraId="51ABDD3B" w14:textId="77777777" w:rsidR="002719F1" w:rsidRPr="00493AA8" w:rsidRDefault="002719F1" w:rsidP="006D7F45">
      <w:pPr>
        <w:ind w:left="709" w:right="386" w:hanging="709"/>
        <w:jc w:val="both"/>
        <w:rPr>
          <w:b/>
          <w:sz w:val="28"/>
          <w:szCs w:val="28"/>
        </w:rPr>
      </w:pPr>
      <w:r w:rsidRPr="00493AA8">
        <w:rPr>
          <w:b/>
          <w:sz w:val="28"/>
          <w:szCs w:val="28"/>
        </w:rPr>
        <w:t xml:space="preserve">Section D Capital </w:t>
      </w:r>
      <w:r w:rsidR="002468A6" w:rsidRPr="00493AA8">
        <w:rPr>
          <w:b/>
          <w:sz w:val="28"/>
          <w:szCs w:val="28"/>
        </w:rPr>
        <w:t>Programme</w:t>
      </w:r>
    </w:p>
    <w:p w14:paraId="49531373" w14:textId="77777777" w:rsidR="002719F1" w:rsidRPr="00493AA8" w:rsidRDefault="002719F1" w:rsidP="006D7F45">
      <w:pPr>
        <w:ind w:left="709" w:right="386" w:hanging="709"/>
        <w:jc w:val="both"/>
        <w:rPr>
          <w:b/>
          <w:sz w:val="22"/>
          <w:szCs w:val="22"/>
        </w:rPr>
      </w:pPr>
    </w:p>
    <w:p w14:paraId="7F65B718" w14:textId="714EF14B" w:rsidR="00070723" w:rsidRPr="00B96FC0" w:rsidRDefault="00E301DC" w:rsidP="006D7F45">
      <w:pPr>
        <w:pStyle w:val="Default"/>
        <w:tabs>
          <w:tab w:val="left" w:pos="709"/>
        </w:tabs>
        <w:ind w:right="386" w:hanging="720"/>
        <w:rPr>
          <w:b/>
        </w:rPr>
      </w:pPr>
      <w:r w:rsidRPr="00493AA8">
        <w:tab/>
      </w:r>
      <w:r w:rsidRPr="00493AA8">
        <w:rPr>
          <w:b/>
        </w:rPr>
        <w:t>Optimism Bias</w:t>
      </w:r>
    </w:p>
    <w:p w14:paraId="121957EE" w14:textId="77777777" w:rsidR="00E301DC" w:rsidRPr="00B96FC0" w:rsidRDefault="00E301DC" w:rsidP="006D7F45">
      <w:pPr>
        <w:pStyle w:val="Default"/>
        <w:tabs>
          <w:tab w:val="left" w:pos="709"/>
        </w:tabs>
        <w:ind w:right="386" w:hanging="720"/>
      </w:pPr>
    </w:p>
    <w:p w14:paraId="0342D159" w14:textId="5A5B01C6" w:rsidR="002F79B1" w:rsidRPr="00B96FC0" w:rsidRDefault="18922296" w:rsidP="00F42D9C">
      <w:pPr>
        <w:pStyle w:val="ListParagraph"/>
        <w:numPr>
          <w:ilvl w:val="0"/>
          <w:numId w:val="1"/>
        </w:numPr>
        <w:ind w:left="426" w:right="386" w:hanging="426"/>
      </w:pPr>
      <w:r>
        <w:t xml:space="preserve">In previous years the spend profile on the programme has not matched that of the budget set. </w:t>
      </w:r>
      <w:r w:rsidR="2601836E">
        <w:t>Typically,</w:t>
      </w:r>
      <w:r>
        <w:t xml:space="preserve"> only spend of around 50% has been achieved. This shortfall can be for </w:t>
      </w:r>
      <w:proofErr w:type="gramStart"/>
      <w:r>
        <w:t>a number of</w:t>
      </w:r>
      <w:proofErr w:type="gramEnd"/>
      <w:r>
        <w:t xml:space="preserve"> reasons</w:t>
      </w:r>
      <w:r w:rsidR="00BD3150">
        <w:t>,</w:t>
      </w:r>
      <w:r>
        <w:t xml:space="preserve"> most simply relating to delays in development</w:t>
      </w:r>
      <w:r w:rsidR="3F1F80A1">
        <w:t xml:space="preserve">, not least due to cost and borrowing increases, and the complexity of some of our key sites and assets, </w:t>
      </w:r>
      <w:r>
        <w:t xml:space="preserve">most of which members will be aware of. This underspend can have a significant impact on the local </w:t>
      </w:r>
      <w:r w:rsidR="5DBFD008">
        <w:t>authorities'</w:t>
      </w:r>
      <w:r>
        <w:t xml:space="preserve"> finance</w:t>
      </w:r>
      <w:r w:rsidR="46454719">
        <w:t>s.  On the one hand, not spending money reduces the need to borrow, but failing to spend money planned also reduces the ability to plan available funds and can reduce investment income.</w:t>
      </w:r>
      <w:r>
        <w:t xml:space="preserve"> </w:t>
      </w:r>
    </w:p>
    <w:p w14:paraId="1848ACD3" w14:textId="7F805B3A" w:rsidR="00E301DC" w:rsidRPr="00B96FC0" w:rsidRDefault="18922296" w:rsidP="00F42D9C">
      <w:pPr>
        <w:pStyle w:val="ListParagraph"/>
        <w:numPr>
          <w:ilvl w:val="0"/>
          <w:numId w:val="1"/>
        </w:numPr>
        <w:ind w:left="426" w:right="386" w:hanging="426"/>
      </w:pPr>
      <w:r>
        <w:t xml:space="preserve">The HM Treasury Green Book on how to appraise programme and projects also recognises ‘optimism </w:t>
      </w:r>
      <w:proofErr w:type="spellStart"/>
      <w:r>
        <w:t>bias’</w:t>
      </w:r>
      <w:proofErr w:type="spellEnd"/>
      <w:r>
        <w:t xml:space="preserve"> </w:t>
      </w:r>
      <w:r w:rsidR="0367A8A7">
        <w:t xml:space="preserve">or the </w:t>
      </w:r>
      <w:r w:rsidR="2CF924F6">
        <w:t>tendency</w:t>
      </w:r>
      <w:r w:rsidR="0367A8A7">
        <w:t xml:space="preserve"> for appraisers to be over optimistic about key project parameters including capital </w:t>
      </w:r>
      <w:r w:rsidR="2CF924F6">
        <w:t>costs, operating</w:t>
      </w:r>
      <w:r w:rsidR="0367A8A7">
        <w:t xml:space="preserve"> costs, and project duration.  The Green Book recommends adjusting for this based on </w:t>
      </w:r>
      <w:proofErr w:type="gramStart"/>
      <w:r w:rsidR="0367A8A7">
        <w:t>past experience</w:t>
      </w:r>
      <w:proofErr w:type="gramEnd"/>
      <w:r w:rsidR="0367A8A7">
        <w:t xml:space="preserve">. </w:t>
      </w:r>
    </w:p>
    <w:p w14:paraId="489FBF6F" w14:textId="77777777" w:rsidR="00E301DC" w:rsidRPr="00B96FC0" w:rsidRDefault="0367A8A7" w:rsidP="00F42D9C">
      <w:pPr>
        <w:pStyle w:val="ListParagraph"/>
        <w:numPr>
          <w:ilvl w:val="0"/>
          <w:numId w:val="1"/>
        </w:numPr>
        <w:ind w:left="426" w:right="386" w:hanging="426"/>
      </w:pPr>
      <w:r>
        <w:t xml:space="preserve">In drawing up the capital programme for this year an optimism bias has been applied to both General Fund and HRA Capital which has the effect of reducing the capital with cost of capital revenue costs being adjustment accordingly in the MTFP. </w:t>
      </w:r>
    </w:p>
    <w:p w14:paraId="30424D50" w14:textId="3DA952AD" w:rsidR="00E301DC" w:rsidRPr="00B96FC0" w:rsidRDefault="0367A8A7" w:rsidP="00F42D9C">
      <w:pPr>
        <w:pStyle w:val="ListParagraph"/>
        <w:numPr>
          <w:ilvl w:val="0"/>
          <w:numId w:val="1"/>
        </w:numPr>
        <w:ind w:left="426" w:right="386" w:hanging="426"/>
      </w:pPr>
      <w:r>
        <w:t xml:space="preserve">The total budgeted capital </w:t>
      </w:r>
      <w:proofErr w:type="gramStart"/>
      <w:r>
        <w:t>spend</w:t>
      </w:r>
      <w:proofErr w:type="gramEnd"/>
      <w:r>
        <w:t xml:space="preserve"> of £</w:t>
      </w:r>
      <w:r w:rsidR="2CCAD7AF">
        <w:t>710</w:t>
      </w:r>
      <w:r>
        <w:t xml:space="preserve"> million over the five year programme is therefor</w:t>
      </w:r>
      <w:r w:rsidR="2CF924F6">
        <w:t>e</w:t>
      </w:r>
      <w:r>
        <w:t xml:space="preserve"> reduced as </w:t>
      </w:r>
      <w:r w:rsidR="4FF10EE3">
        <w:t>follows:</w:t>
      </w:r>
    </w:p>
    <w:p w14:paraId="27CE5F59" w14:textId="77777777" w:rsidR="007C79C3" w:rsidRDefault="007C79C3" w:rsidP="00104315">
      <w:pPr>
        <w:ind w:left="709" w:right="386" w:hanging="709"/>
      </w:pPr>
    </w:p>
    <w:p w14:paraId="3AB95BA1" w14:textId="06EC6B4F" w:rsidR="00ED2696" w:rsidRDefault="1278DF05" w:rsidP="60EA432F">
      <w:pPr>
        <w:ind w:right="386"/>
        <w:rPr>
          <w:b/>
          <w:bCs/>
        </w:rPr>
      </w:pPr>
      <w:r w:rsidRPr="60EA432F">
        <w:rPr>
          <w:b/>
          <w:bCs/>
        </w:rPr>
        <w:t xml:space="preserve">Table </w:t>
      </w:r>
      <w:proofErr w:type="gramStart"/>
      <w:r w:rsidRPr="60EA432F">
        <w:rPr>
          <w:b/>
          <w:bCs/>
        </w:rPr>
        <w:t>1</w:t>
      </w:r>
      <w:r w:rsidR="2F6F7F86" w:rsidRPr="60EA432F">
        <w:rPr>
          <w:b/>
          <w:bCs/>
        </w:rPr>
        <w:t>1</w:t>
      </w:r>
      <w:r w:rsidRPr="60EA432F">
        <w:rPr>
          <w:b/>
          <w:bCs/>
        </w:rPr>
        <w:t xml:space="preserve"> :</w:t>
      </w:r>
      <w:proofErr w:type="gramEnd"/>
      <w:r w:rsidRPr="60EA432F">
        <w:rPr>
          <w:b/>
          <w:bCs/>
        </w:rPr>
        <w:t xml:space="preserve"> Capital Programme Optimism Bias</w:t>
      </w:r>
    </w:p>
    <w:p w14:paraId="73164F7B" w14:textId="77777777" w:rsidR="00AD40A5" w:rsidRDefault="00AD40A5" w:rsidP="60EA432F">
      <w:pPr>
        <w:ind w:right="386"/>
        <w:rPr>
          <w:b/>
          <w:bCs/>
        </w:rPr>
      </w:pPr>
    </w:p>
    <w:p w14:paraId="6604105D" w14:textId="77777777" w:rsidR="00AD40A5" w:rsidRDefault="00AD40A5" w:rsidP="60EA432F">
      <w:pPr>
        <w:ind w:right="386"/>
        <w:rPr>
          <w:b/>
          <w:bCs/>
        </w:rPr>
      </w:pPr>
    </w:p>
    <w:p w14:paraId="7B598B62" w14:textId="0FDFC228" w:rsidR="00AD40A5" w:rsidRPr="00B96FC0" w:rsidRDefault="00AD40A5" w:rsidP="60EA432F">
      <w:pPr>
        <w:ind w:right="386"/>
        <w:rPr>
          <w:b/>
          <w:bCs/>
        </w:rPr>
      </w:pPr>
      <w:r w:rsidRPr="00AD40A5">
        <w:rPr>
          <w:noProof/>
        </w:rPr>
        <w:lastRenderedPageBreak/>
        <w:drawing>
          <wp:inline distT="0" distB="0" distL="0" distR="0" wp14:anchorId="3DBF1ED8" wp14:editId="6AE91AE7">
            <wp:extent cx="6217285" cy="2543175"/>
            <wp:effectExtent l="0" t="0" r="0" b="9525"/>
            <wp:docPr id="184060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7285" cy="2543175"/>
                    </a:xfrm>
                    <a:prstGeom prst="rect">
                      <a:avLst/>
                    </a:prstGeom>
                    <a:noFill/>
                    <a:ln>
                      <a:noFill/>
                    </a:ln>
                  </pic:spPr>
                </pic:pic>
              </a:graphicData>
            </a:graphic>
          </wp:inline>
        </w:drawing>
      </w:r>
    </w:p>
    <w:p w14:paraId="3C1608DD" w14:textId="77777777" w:rsidR="008F58BB" w:rsidRPr="00B96FC0" w:rsidRDefault="008F58BB" w:rsidP="00ED2696">
      <w:pPr>
        <w:ind w:right="386"/>
        <w:rPr>
          <w:b/>
          <w:bCs/>
          <w:highlight w:val="yellow"/>
        </w:rPr>
      </w:pPr>
    </w:p>
    <w:p w14:paraId="67FC3114" w14:textId="7D676E10" w:rsidR="12B5E433" w:rsidRPr="00B96FC0" w:rsidRDefault="12B5E433" w:rsidP="12B5E433">
      <w:pPr>
        <w:ind w:right="386"/>
      </w:pPr>
    </w:p>
    <w:p w14:paraId="6109D03F" w14:textId="7ACA61ED" w:rsidR="6E37FCBD" w:rsidRDefault="6E37FCBD" w:rsidP="6E37FCBD">
      <w:pPr>
        <w:ind w:right="386"/>
        <w:rPr>
          <w:b/>
          <w:bCs/>
        </w:rPr>
      </w:pPr>
    </w:p>
    <w:p w14:paraId="0A9E9A4F" w14:textId="1A44EAEC" w:rsidR="00E301DC" w:rsidRPr="00B96FC0" w:rsidRDefault="00E301DC" w:rsidP="00E301DC">
      <w:pPr>
        <w:ind w:right="386"/>
        <w:rPr>
          <w:b/>
        </w:rPr>
      </w:pPr>
      <w:r w:rsidRPr="6E37FCBD">
        <w:rPr>
          <w:b/>
        </w:rPr>
        <w:t>General Fund Programme</w:t>
      </w:r>
    </w:p>
    <w:p w14:paraId="019286F8" w14:textId="77777777" w:rsidR="00E301DC" w:rsidRPr="00B96FC0" w:rsidRDefault="00E301DC" w:rsidP="00E301DC">
      <w:pPr>
        <w:ind w:right="386"/>
      </w:pPr>
    </w:p>
    <w:p w14:paraId="60F51E26" w14:textId="4E17B513" w:rsidR="00E301DC" w:rsidRPr="00B96FC0" w:rsidRDefault="0367A8A7" w:rsidP="00F42D9C">
      <w:pPr>
        <w:pStyle w:val="ListParagraph"/>
        <w:numPr>
          <w:ilvl w:val="0"/>
          <w:numId w:val="1"/>
        </w:numPr>
        <w:ind w:left="426" w:right="386" w:hanging="426"/>
      </w:pPr>
      <w:r>
        <w:t xml:space="preserve">The total programme over the </w:t>
      </w:r>
      <w:r w:rsidR="00344269">
        <w:t>five-year</w:t>
      </w:r>
      <w:r>
        <w:t xml:space="preserve"> period is estimated at </w:t>
      </w:r>
      <w:r w:rsidR="2413DE31">
        <w:t>£</w:t>
      </w:r>
      <w:r w:rsidR="7B2EECE8">
        <w:t xml:space="preserve">171 </w:t>
      </w:r>
      <w:r w:rsidR="45B954F4">
        <w:t>million</w:t>
      </w:r>
      <w:r>
        <w:t xml:space="preserve">. Applying optimism bias </w:t>
      </w:r>
      <w:proofErr w:type="gramStart"/>
      <w:r w:rsidR="4DEB3BE4">
        <w:t>taking into account</w:t>
      </w:r>
      <w:proofErr w:type="gramEnd"/>
      <w:r w:rsidR="4DEB3BE4">
        <w:t xml:space="preserve"> slippage from 2024-25 increases</w:t>
      </w:r>
      <w:r>
        <w:t xml:space="preserve"> the programme to </w:t>
      </w:r>
      <w:r w:rsidR="4DEB3BE4">
        <w:t>£188m</w:t>
      </w:r>
      <w:r>
        <w:t xml:space="preserve">. </w:t>
      </w:r>
    </w:p>
    <w:p w14:paraId="24B096BA" w14:textId="77777777" w:rsidR="00E301DC" w:rsidRPr="00B96FC0" w:rsidRDefault="00E301DC" w:rsidP="00104315">
      <w:pPr>
        <w:pStyle w:val="ListParagraph"/>
        <w:ind w:left="709" w:right="386" w:hanging="709"/>
      </w:pPr>
    </w:p>
    <w:p w14:paraId="33986F9F" w14:textId="64EF20BB" w:rsidR="00AF0A2E" w:rsidRPr="00F42D9C" w:rsidRDefault="42D49C0C" w:rsidP="00F42D9C">
      <w:pPr>
        <w:pStyle w:val="ListParagraph"/>
        <w:numPr>
          <w:ilvl w:val="0"/>
          <w:numId w:val="1"/>
        </w:numPr>
        <w:ind w:left="426" w:right="386" w:hanging="426"/>
      </w:pPr>
      <w:r w:rsidRPr="00F42D9C">
        <w:t xml:space="preserve">New </w:t>
      </w:r>
      <w:r w:rsidR="3CCFE928" w:rsidRPr="00F42D9C">
        <w:t xml:space="preserve">ICT </w:t>
      </w:r>
      <w:r w:rsidRPr="00F42D9C">
        <w:t>Schemes of around £</w:t>
      </w:r>
      <w:r w:rsidR="6F8A1448" w:rsidRPr="00F42D9C">
        <w:t xml:space="preserve">2.2 </w:t>
      </w:r>
      <w:r w:rsidR="00875869" w:rsidRPr="00F42D9C">
        <w:t>m</w:t>
      </w:r>
      <w:r w:rsidRPr="00F42D9C">
        <w:t xml:space="preserve">illion are included in the </w:t>
      </w:r>
      <w:r w:rsidR="7E1557D6" w:rsidRPr="00F42D9C">
        <w:t>budget</w:t>
      </w:r>
      <w:r w:rsidR="31A24943" w:rsidRPr="00F42D9C">
        <w:t xml:space="preserve"> as well as an </w:t>
      </w:r>
      <w:r w:rsidR="767E161F" w:rsidRPr="00F42D9C">
        <w:t>additional</w:t>
      </w:r>
      <w:r w:rsidR="31A24943" w:rsidRPr="00F42D9C">
        <w:t xml:space="preserve"> £400k in respect of 1-3 </w:t>
      </w:r>
      <w:r w:rsidR="00344269" w:rsidRPr="00F42D9C">
        <w:t>George Street</w:t>
      </w:r>
      <w:r w:rsidR="00F42D9C">
        <w:t xml:space="preserve">. </w:t>
      </w:r>
      <w:r w:rsidR="6031EE72" w:rsidRPr="00F42D9C">
        <w:t>The additional funding will cover the cost of all variations such as piling works, structural roof repairs etc., uplifted fees for programme delays and a 10% contingency to see the works through to Practical Completion.</w:t>
      </w:r>
    </w:p>
    <w:p w14:paraId="0E9F77D5" w14:textId="77777777" w:rsidR="00D0012F" w:rsidRPr="00F42D9C" w:rsidRDefault="00D0012F" w:rsidP="00875869">
      <w:pPr>
        <w:pStyle w:val="Default"/>
        <w:ind w:left="567" w:right="386" w:hanging="567"/>
        <w:jc w:val="both"/>
        <w:rPr>
          <w:color w:val="auto"/>
        </w:rPr>
      </w:pPr>
    </w:p>
    <w:p w14:paraId="01A64AB4" w14:textId="77777777" w:rsidR="00875869" w:rsidRDefault="007F656D" w:rsidP="00875869">
      <w:pPr>
        <w:pStyle w:val="ListParagraph"/>
        <w:tabs>
          <w:tab w:val="left" w:pos="709"/>
          <w:tab w:val="left" w:pos="851"/>
          <w:tab w:val="left" w:pos="8080"/>
        </w:tabs>
        <w:ind w:left="0" w:right="934"/>
        <w:jc w:val="both"/>
        <w:rPr>
          <w:b/>
        </w:rPr>
      </w:pPr>
      <w:r w:rsidRPr="6E37FCBD">
        <w:rPr>
          <w:b/>
        </w:rPr>
        <w:t xml:space="preserve">Pipeline of capital projects </w:t>
      </w:r>
    </w:p>
    <w:p w14:paraId="735AF11A" w14:textId="77777777" w:rsidR="00875869" w:rsidRDefault="00875869" w:rsidP="6E37FCBD">
      <w:pPr>
        <w:pStyle w:val="ListParagraph"/>
        <w:tabs>
          <w:tab w:val="left" w:pos="709"/>
          <w:tab w:val="left" w:pos="851"/>
          <w:tab w:val="left" w:pos="8080"/>
        </w:tabs>
        <w:ind w:left="1080" w:right="934"/>
        <w:jc w:val="both"/>
        <w:rPr>
          <w:b/>
        </w:rPr>
      </w:pPr>
    </w:p>
    <w:p w14:paraId="0D03A840" w14:textId="7752444E" w:rsidR="007F656D" w:rsidRPr="00B96FC0" w:rsidRDefault="00F42D9C" w:rsidP="00F42D9C">
      <w:pPr>
        <w:pStyle w:val="ListParagraph"/>
        <w:numPr>
          <w:ilvl w:val="0"/>
          <w:numId w:val="1"/>
        </w:numPr>
        <w:tabs>
          <w:tab w:val="left" w:pos="426"/>
          <w:tab w:val="left" w:pos="851"/>
          <w:tab w:val="left" w:pos="8080"/>
        </w:tabs>
        <w:ind w:left="426" w:right="934" w:hanging="426"/>
        <w:jc w:val="both"/>
      </w:pPr>
      <w:r>
        <w:t>T</w:t>
      </w:r>
      <w:r w:rsidR="007F656D">
        <w:t xml:space="preserve">here are </w:t>
      </w:r>
      <w:proofErr w:type="gramStart"/>
      <w:r w:rsidR="007F656D">
        <w:t>a number of</w:t>
      </w:r>
      <w:proofErr w:type="gramEnd"/>
      <w:r w:rsidR="007F656D">
        <w:t xml:space="preserve"> capital projects </w:t>
      </w:r>
      <w:r w:rsidR="7B595BAC">
        <w:t xml:space="preserve">totalling £16.7 million </w:t>
      </w:r>
      <w:r w:rsidR="007F656D">
        <w:t xml:space="preserve">which have yet to be fully worked up such as </w:t>
      </w:r>
      <w:r w:rsidR="003A5846">
        <w:t xml:space="preserve">energy </w:t>
      </w:r>
      <w:r w:rsidR="3A43D8FC">
        <w:t>surveys</w:t>
      </w:r>
      <w:r w:rsidR="003A5846">
        <w:t>, town hall works and wate</w:t>
      </w:r>
      <w:r w:rsidR="0C9FF464">
        <w:t>r</w:t>
      </w:r>
      <w:r w:rsidR="003A5846">
        <w:t>ways</w:t>
      </w:r>
      <w:r w:rsidR="007F656D">
        <w:t xml:space="preserve">. These are held in a pipeline which will be subject to the full </w:t>
      </w:r>
      <w:r w:rsidR="00761C7F">
        <w:t>rigo</w:t>
      </w:r>
      <w:r w:rsidR="00BD3150">
        <w:t>u</w:t>
      </w:r>
      <w:r w:rsidR="00761C7F">
        <w:t>r</w:t>
      </w:r>
      <w:r w:rsidR="007F656D">
        <w:t xml:space="preserve"> of scrutiny through </w:t>
      </w:r>
      <w:r w:rsidR="5890CEBF">
        <w:t>the Development</w:t>
      </w:r>
      <w:r w:rsidR="007F656D">
        <w:t xml:space="preserve"> Board before bein</w:t>
      </w:r>
      <w:r w:rsidR="00761C7F">
        <w:t xml:space="preserve">g submitted for member approval. </w:t>
      </w:r>
      <w:r w:rsidR="10ABBA2B">
        <w:t xml:space="preserve">These schemes </w:t>
      </w:r>
      <w:proofErr w:type="gramStart"/>
      <w:r w:rsidR="10ABBA2B">
        <w:t>include :</w:t>
      </w:r>
      <w:proofErr w:type="gramEnd"/>
    </w:p>
    <w:p w14:paraId="40BE928C" w14:textId="25A27AAE" w:rsidR="6E839135" w:rsidRDefault="6E839135" w:rsidP="009046B9">
      <w:pPr>
        <w:pStyle w:val="ListParagraph"/>
        <w:numPr>
          <w:ilvl w:val="0"/>
          <w:numId w:val="29"/>
        </w:numPr>
        <w:tabs>
          <w:tab w:val="left" w:pos="8080"/>
        </w:tabs>
        <w:ind w:left="1985" w:right="934"/>
        <w:jc w:val="both"/>
      </w:pPr>
      <w:r>
        <w:t xml:space="preserve">Covered market master plan additional works   £1 </w:t>
      </w:r>
      <w:r w:rsidR="00344269">
        <w:t>million.</w:t>
      </w:r>
    </w:p>
    <w:p w14:paraId="1BEC4C77" w14:textId="147401E1" w:rsidR="1DA2BBB1" w:rsidRDefault="1DA2BBB1" w:rsidP="009046B9">
      <w:pPr>
        <w:pStyle w:val="ListParagraph"/>
        <w:numPr>
          <w:ilvl w:val="0"/>
          <w:numId w:val="29"/>
        </w:numPr>
        <w:tabs>
          <w:tab w:val="left" w:pos="851"/>
          <w:tab w:val="left" w:pos="8080"/>
        </w:tabs>
        <w:ind w:left="1985" w:right="934" w:hanging="284"/>
        <w:jc w:val="both"/>
      </w:pPr>
      <w:r>
        <w:t xml:space="preserve">Cowley Branch Line – Additional to </w:t>
      </w:r>
      <w:r w:rsidR="00875869">
        <w:t>existing</w:t>
      </w:r>
      <w:r>
        <w:t xml:space="preserve"> capital scheme to be funded by CIL potentially £</w:t>
      </w:r>
      <w:proofErr w:type="gramStart"/>
      <w:r>
        <w:t>5m</w:t>
      </w:r>
      <w:proofErr w:type="gramEnd"/>
    </w:p>
    <w:p w14:paraId="078FC04D" w14:textId="2A07CF30" w:rsidR="180119A2" w:rsidRDefault="180119A2" w:rsidP="009046B9">
      <w:pPr>
        <w:pStyle w:val="ListParagraph"/>
        <w:numPr>
          <w:ilvl w:val="0"/>
          <w:numId w:val="29"/>
        </w:numPr>
        <w:tabs>
          <w:tab w:val="left" w:pos="851"/>
          <w:tab w:val="left" w:pos="8080"/>
        </w:tabs>
        <w:ind w:left="1985" w:right="934" w:hanging="284"/>
        <w:jc w:val="both"/>
      </w:pPr>
      <w:r>
        <w:t xml:space="preserve">Waterways </w:t>
      </w:r>
      <w:r w:rsidR="397B877A">
        <w:t xml:space="preserve">capital </w:t>
      </w:r>
      <w:r>
        <w:t>investment</w:t>
      </w:r>
      <w:r w:rsidR="38DCE449">
        <w:t xml:space="preserve"> to make sure that waterways ownership is </w:t>
      </w:r>
      <w:r w:rsidR="00344269">
        <w:t>safe,</w:t>
      </w:r>
      <w:r>
        <w:t xml:space="preserve"> following survey work to sluice gates, banks, tow </w:t>
      </w:r>
      <w:r w:rsidR="008009B9">
        <w:t>paths</w:t>
      </w:r>
      <w:r>
        <w:t xml:space="preserve">, culverts </w:t>
      </w:r>
      <w:r w:rsidR="008009B9">
        <w:t>etc</w:t>
      </w:r>
      <w:r>
        <w:t xml:space="preserve"> - £</w:t>
      </w:r>
      <w:proofErr w:type="gramStart"/>
      <w:r>
        <w:t>2m</w:t>
      </w:r>
      <w:proofErr w:type="gramEnd"/>
      <w:r>
        <w:t xml:space="preserve"> </w:t>
      </w:r>
    </w:p>
    <w:p w14:paraId="5BCA85A3" w14:textId="16A1829F" w:rsidR="180119A2" w:rsidRDefault="180119A2" w:rsidP="009046B9">
      <w:pPr>
        <w:pStyle w:val="ListParagraph"/>
        <w:numPr>
          <w:ilvl w:val="0"/>
          <w:numId w:val="29"/>
        </w:numPr>
        <w:tabs>
          <w:tab w:val="left" w:pos="709"/>
          <w:tab w:val="left" w:pos="851"/>
          <w:tab w:val="left" w:pos="8080"/>
        </w:tabs>
        <w:ind w:left="1985" w:right="934" w:hanging="284"/>
        <w:jc w:val="both"/>
      </w:pPr>
      <w:r>
        <w:t xml:space="preserve">Town Hall </w:t>
      </w:r>
      <w:r w:rsidR="00875869">
        <w:t>property</w:t>
      </w:r>
      <w:r>
        <w:t xml:space="preserve"> works – extension to the town hall works programme - £</w:t>
      </w:r>
      <w:proofErr w:type="gramStart"/>
      <w:r>
        <w:t>2m</w:t>
      </w:r>
      <w:proofErr w:type="gramEnd"/>
    </w:p>
    <w:p w14:paraId="58EFB9E0" w14:textId="31BD6A91" w:rsidR="0051107B" w:rsidRPr="00B96FC0" w:rsidRDefault="002F79B1" w:rsidP="00104315">
      <w:pPr>
        <w:pStyle w:val="Default"/>
        <w:ind w:left="1985" w:right="386" w:hanging="284"/>
      </w:pPr>
      <w:r>
        <w:br/>
      </w:r>
    </w:p>
    <w:p w14:paraId="7FBAB80A" w14:textId="14809A8D" w:rsidR="002719F1" w:rsidRPr="00B96FC0" w:rsidRDefault="21DB6ED2" w:rsidP="00F42D9C">
      <w:pPr>
        <w:pStyle w:val="Default"/>
        <w:numPr>
          <w:ilvl w:val="0"/>
          <w:numId w:val="1"/>
        </w:numPr>
        <w:ind w:left="426" w:right="386" w:hanging="426"/>
      </w:pPr>
      <w:r>
        <w:t>F</w:t>
      </w:r>
      <w:r w:rsidR="44844F85">
        <w:t>und</w:t>
      </w:r>
      <w:r>
        <w:t xml:space="preserve">ing of the </w:t>
      </w:r>
      <w:r w:rsidR="008009B9">
        <w:t>Program</w:t>
      </w:r>
      <w:r>
        <w:t xml:space="preserve"> is </w:t>
      </w:r>
      <w:r w:rsidR="44844F85">
        <w:t xml:space="preserve">by </w:t>
      </w:r>
      <w:r w:rsidR="5F902880">
        <w:t xml:space="preserve">Community Infrastructure Levy </w:t>
      </w:r>
      <w:r w:rsidR="42E942E2">
        <w:t xml:space="preserve">and Section 106 </w:t>
      </w:r>
      <w:r w:rsidR="3CF6A448">
        <w:t>£</w:t>
      </w:r>
      <w:r w:rsidR="332111D2">
        <w:t xml:space="preserve">6 </w:t>
      </w:r>
      <w:r w:rsidR="3CF6A448">
        <w:t xml:space="preserve">million </w:t>
      </w:r>
      <w:r w:rsidR="5F902880">
        <w:t>(</w:t>
      </w:r>
      <w:r w:rsidR="003A5846">
        <w:t>3</w:t>
      </w:r>
      <w:r w:rsidR="5F902880">
        <w:t>%)</w:t>
      </w:r>
      <w:r w:rsidR="1F677449">
        <w:t xml:space="preserve">, borrowing </w:t>
      </w:r>
      <w:r w:rsidR="3CF6A448">
        <w:t>£</w:t>
      </w:r>
      <w:r w:rsidR="6BE183B4">
        <w:t>159</w:t>
      </w:r>
      <w:r w:rsidR="3CF6A448">
        <w:t xml:space="preserve"> million </w:t>
      </w:r>
      <w:r w:rsidR="1F677449">
        <w:t>(</w:t>
      </w:r>
      <w:r w:rsidR="4DF0A851">
        <w:t>93</w:t>
      </w:r>
      <w:r w:rsidR="1F677449">
        <w:t>%)</w:t>
      </w:r>
      <w:r w:rsidR="47C5B1B0">
        <w:t xml:space="preserve"> </w:t>
      </w:r>
      <w:r w:rsidR="44844F85">
        <w:t xml:space="preserve">Government Grants </w:t>
      </w:r>
      <w:r w:rsidR="3CF6A448">
        <w:t>£</w:t>
      </w:r>
      <w:r w:rsidR="1EE597B5">
        <w:t>6</w:t>
      </w:r>
      <w:r w:rsidR="3CF6A448">
        <w:t xml:space="preserve"> million </w:t>
      </w:r>
      <w:r w:rsidR="44844F85">
        <w:t>(</w:t>
      </w:r>
      <w:r w:rsidR="03EBB5D7">
        <w:t>4</w:t>
      </w:r>
      <w:r w:rsidR="44844F85">
        <w:t>%)</w:t>
      </w:r>
      <w:r w:rsidR="4BE42223">
        <w:t>.</w:t>
      </w:r>
      <w:r w:rsidR="304FA23E">
        <w:t xml:space="preserve"> </w:t>
      </w:r>
      <w:r w:rsidR="44844F85">
        <w:t xml:space="preserve">All revenue costs have been included in the General Fund revenue budget. </w:t>
      </w:r>
    </w:p>
    <w:p w14:paraId="39334687" w14:textId="77777777" w:rsidR="00F34E29" w:rsidRPr="00B10B7F" w:rsidRDefault="00F34E29" w:rsidP="00BE5927">
      <w:pPr>
        <w:pStyle w:val="Default"/>
        <w:ind w:left="567" w:right="386" w:hanging="567"/>
      </w:pPr>
    </w:p>
    <w:p w14:paraId="7F257C49" w14:textId="6E5D9E22" w:rsidR="00852272" w:rsidRPr="00B10B7F" w:rsidRDefault="00852272" w:rsidP="00BE5927">
      <w:pPr>
        <w:pStyle w:val="Default"/>
        <w:ind w:left="567" w:right="386" w:hanging="567"/>
        <w:rPr>
          <w:b/>
          <w:color w:val="auto"/>
        </w:rPr>
      </w:pPr>
      <w:r w:rsidRPr="00B10B7F">
        <w:rPr>
          <w:b/>
          <w:color w:val="auto"/>
        </w:rPr>
        <w:t xml:space="preserve">Housing Revenue Account Capital </w:t>
      </w:r>
      <w:r w:rsidR="008009B9" w:rsidRPr="00B10B7F">
        <w:rPr>
          <w:b/>
          <w:color w:val="auto"/>
        </w:rPr>
        <w:t>Program</w:t>
      </w:r>
    </w:p>
    <w:p w14:paraId="5C1DF527" w14:textId="77777777" w:rsidR="008910A2" w:rsidRPr="00B10B7F" w:rsidRDefault="008910A2" w:rsidP="00BE5927">
      <w:pPr>
        <w:pStyle w:val="Default"/>
        <w:ind w:left="567" w:right="386" w:hanging="567"/>
        <w:rPr>
          <w:b/>
          <w:color w:val="auto"/>
        </w:rPr>
      </w:pPr>
    </w:p>
    <w:p w14:paraId="35892968" w14:textId="4FBDEAD8" w:rsidR="005F6232" w:rsidRPr="001D5554" w:rsidRDefault="00852272" w:rsidP="00F42D9C">
      <w:pPr>
        <w:pStyle w:val="Default"/>
        <w:numPr>
          <w:ilvl w:val="0"/>
          <w:numId w:val="1"/>
        </w:numPr>
        <w:ind w:left="426" w:right="386" w:hanging="426"/>
        <w:rPr>
          <w:color w:val="auto"/>
        </w:rPr>
      </w:pPr>
      <w:r w:rsidRPr="6F9FB908">
        <w:rPr>
          <w:color w:val="auto"/>
        </w:rPr>
        <w:t xml:space="preserve">The draft HRA Capital </w:t>
      </w:r>
      <w:r w:rsidR="008009B9" w:rsidRPr="6F9FB908">
        <w:rPr>
          <w:color w:val="auto"/>
        </w:rPr>
        <w:t>Program</w:t>
      </w:r>
      <w:r w:rsidRPr="6F9FB908">
        <w:rPr>
          <w:color w:val="auto"/>
        </w:rPr>
        <w:t xml:space="preserve"> </w:t>
      </w:r>
      <w:r w:rsidR="00AA5E8E" w:rsidRPr="6F9FB908">
        <w:rPr>
          <w:color w:val="auto"/>
        </w:rPr>
        <w:t xml:space="preserve">is </w:t>
      </w:r>
      <w:r w:rsidR="001C6317" w:rsidRPr="6F9FB908">
        <w:rPr>
          <w:color w:val="auto"/>
        </w:rPr>
        <w:t>intrinsically</w:t>
      </w:r>
      <w:r w:rsidR="00AA5E8E" w:rsidRPr="6F9FB908">
        <w:rPr>
          <w:color w:val="auto"/>
        </w:rPr>
        <w:t xml:space="preserve"> linked to the </w:t>
      </w:r>
      <w:r w:rsidR="000F525A" w:rsidRPr="6F9FB908">
        <w:rPr>
          <w:color w:val="auto"/>
        </w:rPr>
        <w:t>HRA</w:t>
      </w:r>
      <w:r w:rsidR="00AA5E8E" w:rsidRPr="6F9FB908">
        <w:rPr>
          <w:color w:val="auto"/>
        </w:rPr>
        <w:t xml:space="preserve"> </w:t>
      </w:r>
      <w:r w:rsidR="00E34F9A" w:rsidRPr="6F9FB908">
        <w:rPr>
          <w:color w:val="auto"/>
        </w:rPr>
        <w:t>B</w:t>
      </w:r>
      <w:r w:rsidR="00AA5E8E" w:rsidRPr="6F9FB908">
        <w:rPr>
          <w:color w:val="auto"/>
        </w:rPr>
        <w:t xml:space="preserve">usiness </w:t>
      </w:r>
      <w:r w:rsidR="0048458E" w:rsidRPr="6F9FB908">
        <w:rPr>
          <w:color w:val="auto"/>
        </w:rPr>
        <w:t>P</w:t>
      </w:r>
      <w:r w:rsidR="00AA5E8E" w:rsidRPr="6F9FB908">
        <w:rPr>
          <w:color w:val="auto"/>
        </w:rPr>
        <w:t>lan</w:t>
      </w:r>
      <w:r w:rsidR="000F525A" w:rsidRPr="6F9FB908">
        <w:rPr>
          <w:color w:val="auto"/>
        </w:rPr>
        <w:t xml:space="preserve"> since the resources to fund the </w:t>
      </w:r>
      <w:r w:rsidR="000A731F" w:rsidRPr="6F9FB908">
        <w:rPr>
          <w:color w:val="auto"/>
          <w:lang w:val="en-GB"/>
        </w:rPr>
        <w:t xml:space="preserve">Programme </w:t>
      </w:r>
      <w:r w:rsidR="000F525A" w:rsidRPr="6F9FB908">
        <w:rPr>
          <w:color w:val="auto"/>
        </w:rPr>
        <w:t xml:space="preserve">are largely generated through </w:t>
      </w:r>
      <w:r w:rsidR="00614D4F" w:rsidRPr="6F9FB908">
        <w:rPr>
          <w:color w:val="auto"/>
        </w:rPr>
        <w:t>housing rents</w:t>
      </w:r>
      <w:r w:rsidR="00AA5E8E" w:rsidRPr="6F9FB908">
        <w:rPr>
          <w:color w:val="auto"/>
        </w:rPr>
        <w:t>.</w:t>
      </w:r>
      <w:r w:rsidR="00614D4F" w:rsidRPr="6F9FB908">
        <w:rPr>
          <w:color w:val="auto"/>
        </w:rPr>
        <w:t xml:space="preserve"> </w:t>
      </w:r>
      <w:r w:rsidR="00B7563C" w:rsidRPr="6F9FB908">
        <w:rPr>
          <w:color w:val="auto"/>
        </w:rPr>
        <w:t xml:space="preserve">Appendix 6 shows the existing HRA capital </w:t>
      </w:r>
      <w:r w:rsidR="008009B9" w:rsidRPr="6F9FB908">
        <w:rPr>
          <w:color w:val="auto"/>
        </w:rPr>
        <w:t>program</w:t>
      </w:r>
      <w:r w:rsidR="00BD3441" w:rsidRPr="6F9FB908">
        <w:rPr>
          <w:color w:val="auto"/>
        </w:rPr>
        <w:t xml:space="preserve"> over the next f</w:t>
      </w:r>
      <w:r w:rsidR="002E64F2" w:rsidRPr="6F9FB908">
        <w:rPr>
          <w:color w:val="auto"/>
        </w:rPr>
        <w:t xml:space="preserve">ive </w:t>
      </w:r>
      <w:r w:rsidR="00B7563C" w:rsidRPr="6F9FB908">
        <w:rPr>
          <w:color w:val="auto"/>
        </w:rPr>
        <w:t xml:space="preserve">years </w:t>
      </w:r>
      <w:r w:rsidR="00DE3C95" w:rsidRPr="6F9FB908">
        <w:rPr>
          <w:color w:val="auto"/>
        </w:rPr>
        <w:t>totaling</w:t>
      </w:r>
      <w:r w:rsidR="00B7563C" w:rsidRPr="6F9FB908">
        <w:rPr>
          <w:color w:val="auto"/>
        </w:rPr>
        <w:t xml:space="preserve"> £</w:t>
      </w:r>
      <w:r w:rsidR="411F9BB6" w:rsidRPr="6F9FB908">
        <w:rPr>
          <w:color w:val="auto"/>
        </w:rPr>
        <w:t>538</w:t>
      </w:r>
      <w:r w:rsidR="00B7563C" w:rsidRPr="6F9FB908">
        <w:rPr>
          <w:color w:val="auto"/>
        </w:rPr>
        <w:t xml:space="preserve"> million</w:t>
      </w:r>
      <w:r w:rsidR="002E64F2" w:rsidRPr="6F9FB908">
        <w:rPr>
          <w:color w:val="auto"/>
        </w:rPr>
        <w:t xml:space="preserve"> </w:t>
      </w:r>
      <w:r w:rsidR="6E46E63F" w:rsidRPr="6F9FB908">
        <w:rPr>
          <w:color w:val="auto"/>
        </w:rPr>
        <w:t>before</w:t>
      </w:r>
      <w:r w:rsidR="002E64F2" w:rsidRPr="6F9FB908">
        <w:rPr>
          <w:color w:val="auto"/>
        </w:rPr>
        <w:t xml:space="preserve"> the application of optimism bias.</w:t>
      </w:r>
    </w:p>
    <w:p w14:paraId="47E2D4D0" w14:textId="77777777" w:rsidR="000C0570" w:rsidRPr="001D5554" w:rsidRDefault="000C0570" w:rsidP="00104315">
      <w:pPr>
        <w:pStyle w:val="Default"/>
        <w:ind w:left="709" w:right="386" w:hanging="709"/>
        <w:rPr>
          <w:color w:val="auto"/>
        </w:rPr>
      </w:pPr>
    </w:p>
    <w:p w14:paraId="07D7251D" w14:textId="1727E5AC" w:rsidR="00BA5587" w:rsidRPr="001D5554" w:rsidRDefault="000C0570" w:rsidP="00F42D9C">
      <w:pPr>
        <w:pStyle w:val="Default"/>
        <w:numPr>
          <w:ilvl w:val="0"/>
          <w:numId w:val="1"/>
        </w:numPr>
        <w:ind w:left="426" w:right="386" w:hanging="426"/>
        <w:rPr>
          <w:color w:val="auto"/>
        </w:rPr>
      </w:pPr>
      <w:r w:rsidRPr="6F9FB908">
        <w:rPr>
          <w:color w:val="auto"/>
        </w:rPr>
        <w:t xml:space="preserve">The draft </w:t>
      </w:r>
      <w:r w:rsidR="00A160AD" w:rsidRPr="6F9FB908">
        <w:rPr>
          <w:color w:val="auto"/>
        </w:rPr>
        <w:t xml:space="preserve">HRA Capital </w:t>
      </w:r>
      <w:r w:rsidR="008009B9" w:rsidRPr="6F9FB908">
        <w:rPr>
          <w:color w:val="auto"/>
        </w:rPr>
        <w:t>Program</w:t>
      </w:r>
      <w:r w:rsidR="00A160AD" w:rsidRPr="6F9FB908">
        <w:rPr>
          <w:color w:val="auto"/>
        </w:rPr>
        <w:t xml:space="preserve"> can</w:t>
      </w:r>
      <w:r w:rsidR="00452D71" w:rsidRPr="6F9FB908">
        <w:rPr>
          <w:color w:val="auto"/>
        </w:rPr>
        <w:t>,</w:t>
      </w:r>
      <w:r w:rsidR="00A160AD" w:rsidRPr="6F9FB908">
        <w:rPr>
          <w:color w:val="auto"/>
        </w:rPr>
        <w:t xml:space="preserve"> </w:t>
      </w:r>
      <w:r w:rsidR="00CA39D2" w:rsidRPr="6F9FB908">
        <w:rPr>
          <w:color w:val="auto"/>
        </w:rPr>
        <w:t>for the most part</w:t>
      </w:r>
      <w:r w:rsidR="00452D71" w:rsidRPr="6F9FB908">
        <w:rPr>
          <w:color w:val="auto"/>
        </w:rPr>
        <w:t>,</w:t>
      </w:r>
      <w:r w:rsidR="00CA39D2" w:rsidRPr="6F9FB908">
        <w:rPr>
          <w:color w:val="auto"/>
        </w:rPr>
        <w:t xml:space="preserve"> be </w:t>
      </w:r>
      <w:r w:rsidR="008009B9" w:rsidRPr="6F9FB908">
        <w:rPr>
          <w:color w:val="auto"/>
        </w:rPr>
        <w:t>categorized</w:t>
      </w:r>
      <w:r w:rsidR="00CA39D2" w:rsidRPr="6F9FB908">
        <w:rPr>
          <w:color w:val="auto"/>
        </w:rPr>
        <w:t xml:space="preserve"> as follows</w:t>
      </w:r>
      <w:r w:rsidR="007D12A6" w:rsidRPr="6F9FB908">
        <w:rPr>
          <w:color w:val="auto"/>
        </w:rPr>
        <w:t>:</w:t>
      </w:r>
    </w:p>
    <w:p w14:paraId="5F7C9984" w14:textId="4A741570" w:rsidR="007D12A6" w:rsidRPr="001D5554" w:rsidRDefault="007D12A6" w:rsidP="009046B9">
      <w:pPr>
        <w:pStyle w:val="Default"/>
        <w:numPr>
          <w:ilvl w:val="1"/>
          <w:numId w:val="2"/>
        </w:numPr>
        <w:ind w:left="1560" w:right="386" w:hanging="426"/>
        <w:rPr>
          <w:color w:val="auto"/>
        </w:rPr>
      </w:pPr>
      <w:r w:rsidRPr="60EA432F">
        <w:rPr>
          <w:color w:val="auto"/>
        </w:rPr>
        <w:t xml:space="preserve">Investment in existing housing stock – Planned </w:t>
      </w:r>
      <w:r w:rsidR="00CA39D2" w:rsidRPr="60EA432F">
        <w:rPr>
          <w:color w:val="auto"/>
        </w:rPr>
        <w:t>Maintenance</w:t>
      </w:r>
    </w:p>
    <w:p w14:paraId="368300E4" w14:textId="5FCBDAED" w:rsidR="00E046E2" w:rsidRPr="001D5554" w:rsidRDefault="000C02A5" w:rsidP="009046B9">
      <w:pPr>
        <w:pStyle w:val="Default"/>
        <w:numPr>
          <w:ilvl w:val="1"/>
          <w:numId w:val="2"/>
        </w:numPr>
        <w:ind w:left="1560" w:right="386" w:hanging="426"/>
        <w:rPr>
          <w:color w:val="auto"/>
        </w:rPr>
      </w:pPr>
      <w:r w:rsidRPr="60EA432F">
        <w:rPr>
          <w:color w:val="auto"/>
        </w:rPr>
        <w:t xml:space="preserve">Social Housing </w:t>
      </w:r>
      <w:r w:rsidR="00452D71" w:rsidRPr="60EA432F">
        <w:rPr>
          <w:color w:val="auto"/>
        </w:rPr>
        <w:t xml:space="preserve">Acquisition and </w:t>
      </w:r>
      <w:r w:rsidRPr="60EA432F">
        <w:rPr>
          <w:color w:val="auto"/>
        </w:rPr>
        <w:t>Development</w:t>
      </w:r>
      <w:r w:rsidR="005A7318" w:rsidRPr="60EA432F">
        <w:rPr>
          <w:color w:val="auto"/>
        </w:rPr>
        <w:t xml:space="preserve"> </w:t>
      </w:r>
      <w:r w:rsidR="008009B9" w:rsidRPr="60EA432F">
        <w:rPr>
          <w:color w:val="auto"/>
        </w:rPr>
        <w:t>Program</w:t>
      </w:r>
      <w:r w:rsidR="00081C7F" w:rsidRPr="60EA432F">
        <w:rPr>
          <w:color w:val="auto"/>
        </w:rPr>
        <w:t xml:space="preserve"> – new homes</w:t>
      </w:r>
      <w:r w:rsidR="00875869">
        <w:rPr>
          <w:color w:val="auto"/>
        </w:rPr>
        <w:t xml:space="preserve">. In total this is shown as £356 million over the </w:t>
      </w:r>
      <w:proofErr w:type="gramStart"/>
      <w:r w:rsidR="00875869">
        <w:rPr>
          <w:color w:val="auto"/>
        </w:rPr>
        <w:t>5 year</w:t>
      </w:r>
      <w:proofErr w:type="gramEnd"/>
      <w:r w:rsidR="00875869">
        <w:rPr>
          <w:color w:val="auto"/>
        </w:rPr>
        <w:t xml:space="preserve"> period with around £250 million being delivered by </w:t>
      </w:r>
      <w:proofErr w:type="spellStart"/>
      <w:r w:rsidR="00875869">
        <w:rPr>
          <w:color w:val="auto"/>
        </w:rPr>
        <w:t>Oxplace</w:t>
      </w:r>
      <w:proofErr w:type="spellEnd"/>
      <w:r w:rsidR="00875869">
        <w:rPr>
          <w:color w:val="auto"/>
        </w:rPr>
        <w:t xml:space="preserve"> and the remainder via direct delivery through the HRA. Specific details of schemes being delivered by </w:t>
      </w:r>
      <w:proofErr w:type="spellStart"/>
      <w:r w:rsidR="00875869">
        <w:rPr>
          <w:color w:val="auto"/>
        </w:rPr>
        <w:t>Oxplace</w:t>
      </w:r>
      <w:proofErr w:type="spellEnd"/>
      <w:r w:rsidR="00875869">
        <w:rPr>
          <w:color w:val="auto"/>
        </w:rPr>
        <w:t xml:space="preserve"> are shown in the exempt from publication Appendix 10  </w:t>
      </w:r>
    </w:p>
    <w:p w14:paraId="3D79D144" w14:textId="77777777" w:rsidR="005C65D5" w:rsidRPr="001D5554" w:rsidRDefault="005C65D5" w:rsidP="00104315">
      <w:pPr>
        <w:pStyle w:val="Default"/>
        <w:ind w:left="1560" w:right="386" w:hanging="426"/>
        <w:rPr>
          <w:color w:val="auto"/>
        </w:rPr>
      </w:pPr>
    </w:p>
    <w:p w14:paraId="0C460825" w14:textId="2C1E0449" w:rsidR="00A03AAD" w:rsidRDefault="68C47DCA" w:rsidP="00F42D9C">
      <w:pPr>
        <w:pStyle w:val="Default"/>
        <w:numPr>
          <w:ilvl w:val="0"/>
          <w:numId w:val="1"/>
        </w:numPr>
        <w:ind w:left="426" w:right="386" w:hanging="426"/>
        <w:rPr>
          <w:color w:val="auto"/>
        </w:rPr>
      </w:pPr>
      <w:r w:rsidRPr="6F9FB908">
        <w:rPr>
          <w:color w:val="auto"/>
        </w:rPr>
        <w:t>A</w:t>
      </w:r>
      <w:r w:rsidR="538F770B" w:rsidRPr="6F9FB908">
        <w:rPr>
          <w:color w:val="auto"/>
        </w:rPr>
        <w:t xml:space="preserve"> new 5</w:t>
      </w:r>
      <w:r w:rsidR="5E2C7950" w:rsidRPr="6F9FB908">
        <w:rPr>
          <w:color w:val="auto"/>
        </w:rPr>
        <w:t>-</w:t>
      </w:r>
      <w:r w:rsidR="538F770B" w:rsidRPr="6F9FB908">
        <w:rPr>
          <w:color w:val="auto"/>
        </w:rPr>
        <w:t xml:space="preserve">year investment </w:t>
      </w:r>
      <w:r w:rsidR="008009B9" w:rsidRPr="6F9FB908">
        <w:rPr>
          <w:color w:val="auto"/>
        </w:rPr>
        <w:t>program</w:t>
      </w:r>
      <w:r w:rsidR="538F770B" w:rsidRPr="6F9FB908">
        <w:rPr>
          <w:color w:val="auto"/>
        </w:rPr>
        <w:t xml:space="preserve"> plan</w:t>
      </w:r>
      <w:r w:rsidR="00081C7F" w:rsidRPr="6F9FB908">
        <w:rPr>
          <w:color w:val="auto"/>
        </w:rPr>
        <w:t xml:space="preserve"> for our existing housing stock</w:t>
      </w:r>
      <w:r w:rsidR="538F770B" w:rsidRPr="6F9FB908">
        <w:rPr>
          <w:color w:val="auto"/>
        </w:rPr>
        <w:t xml:space="preserve"> has been developed </w:t>
      </w:r>
      <w:proofErr w:type="gramStart"/>
      <w:r w:rsidR="538F770B" w:rsidRPr="6F9FB908">
        <w:rPr>
          <w:color w:val="auto"/>
        </w:rPr>
        <w:t>on the basis of</w:t>
      </w:r>
      <w:proofErr w:type="gramEnd"/>
      <w:r w:rsidR="538F770B" w:rsidRPr="6F9FB908">
        <w:rPr>
          <w:color w:val="auto"/>
        </w:rPr>
        <w:t xml:space="preserve"> </w:t>
      </w:r>
      <w:r w:rsidR="49DB66D5" w:rsidRPr="6F9FB908">
        <w:rPr>
          <w:color w:val="auto"/>
        </w:rPr>
        <w:t xml:space="preserve">the latest stock condition data (40% of the total housing stock); </w:t>
      </w:r>
      <w:r w:rsidR="538F770B" w:rsidRPr="6F9FB908">
        <w:rPr>
          <w:color w:val="auto"/>
        </w:rPr>
        <w:t xml:space="preserve">the </w:t>
      </w:r>
      <w:r w:rsidR="6A01E85E" w:rsidRPr="6F9FB908">
        <w:rPr>
          <w:color w:val="auto"/>
        </w:rPr>
        <w:t>new Housing Regulation and Inspection regime</w:t>
      </w:r>
      <w:r w:rsidR="317EAAA0" w:rsidRPr="6F9FB908">
        <w:rPr>
          <w:color w:val="auto"/>
        </w:rPr>
        <w:t>; the new Client Management arrangements</w:t>
      </w:r>
      <w:r w:rsidR="49DB66D5" w:rsidRPr="6F9FB908">
        <w:rPr>
          <w:color w:val="auto"/>
        </w:rPr>
        <w:t xml:space="preserve">; </w:t>
      </w:r>
      <w:r w:rsidR="2867E1EC" w:rsidRPr="6F9FB908">
        <w:rPr>
          <w:color w:val="auto"/>
        </w:rPr>
        <w:t xml:space="preserve">Revised Financial Arrangements; and adoption of a transitional approach during </w:t>
      </w:r>
      <w:r w:rsidR="6DD836BC" w:rsidRPr="6F9FB908">
        <w:rPr>
          <w:color w:val="auto"/>
        </w:rPr>
        <w:t>the implementation of the new plan.</w:t>
      </w:r>
    </w:p>
    <w:p w14:paraId="270282AC" w14:textId="77777777" w:rsidR="005B1339" w:rsidRDefault="005B1339" w:rsidP="00104315">
      <w:pPr>
        <w:pStyle w:val="Default"/>
        <w:ind w:left="709" w:right="386" w:hanging="709"/>
        <w:rPr>
          <w:color w:val="auto"/>
        </w:rPr>
      </w:pPr>
    </w:p>
    <w:p w14:paraId="5D437D1E" w14:textId="245B4922" w:rsidR="00E61AF9" w:rsidRDefault="0AEDDAF2" w:rsidP="00F42D9C">
      <w:pPr>
        <w:pStyle w:val="Default"/>
        <w:numPr>
          <w:ilvl w:val="0"/>
          <w:numId w:val="1"/>
        </w:numPr>
        <w:ind w:left="426" w:right="386" w:hanging="426"/>
        <w:rPr>
          <w:color w:val="auto"/>
        </w:rPr>
      </w:pPr>
      <w:r w:rsidRPr="6F9FB908">
        <w:rPr>
          <w:color w:val="auto"/>
        </w:rPr>
        <w:t>The</w:t>
      </w:r>
      <w:r w:rsidR="3A403CB9" w:rsidRPr="6F9FB908">
        <w:rPr>
          <w:color w:val="auto"/>
        </w:rPr>
        <w:t xml:space="preserve"> new</w:t>
      </w:r>
      <w:r w:rsidRPr="6F9FB908">
        <w:rPr>
          <w:color w:val="auto"/>
        </w:rPr>
        <w:t xml:space="preserve"> investment plan </w:t>
      </w:r>
      <w:r w:rsidR="4E5E7507" w:rsidRPr="6F9FB908">
        <w:rPr>
          <w:color w:val="auto"/>
        </w:rPr>
        <w:t xml:space="preserve">consists of </w:t>
      </w:r>
      <w:r w:rsidR="2E56E352" w:rsidRPr="6F9FB908">
        <w:rPr>
          <w:color w:val="auto"/>
        </w:rPr>
        <w:t xml:space="preserve">the following </w:t>
      </w:r>
      <w:r w:rsidR="4E5E7507" w:rsidRPr="6F9FB908">
        <w:rPr>
          <w:color w:val="auto"/>
        </w:rPr>
        <w:t>components</w:t>
      </w:r>
      <w:r w:rsidR="2E56E352" w:rsidRPr="6F9FB908">
        <w:rPr>
          <w:color w:val="auto"/>
        </w:rPr>
        <w:t xml:space="preserve">, all of which contain further </w:t>
      </w:r>
      <w:r w:rsidR="42E303E7" w:rsidRPr="6F9FB908">
        <w:rPr>
          <w:color w:val="auto"/>
        </w:rPr>
        <w:t xml:space="preserve">detailed </w:t>
      </w:r>
      <w:r w:rsidR="22E834FA" w:rsidRPr="6F9FB908">
        <w:rPr>
          <w:color w:val="auto"/>
        </w:rPr>
        <w:t>breakdown</w:t>
      </w:r>
      <w:r w:rsidR="0C62B791" w:rsidRPr="6F9FB908">
        <w:rPr>
          <w:color w:val="auto"/>
        </w:rPr>
        <w:t>s</w:t>
      </w:r>
      <w:r w:rsidR="22E834FA" w:rsidRPr="6F9FB908">
        <w:rPr>
          <w:color w:val="auto"/>
        </w:rPr>
        <w:t xml:space="preserve"> of projected costs:</w:t>
      </w:r>
    </w:p>
    <w:p w14:paraId="58AD176F" w14:textId="77777777" w:rsidR="00181BB5" w:rsidRPr="00181BB5" w:rsidRDefault="3A403CB9" w:rsidP="009046B9">
      <w:pPr>
        <w:pStyle w:val="Default"/>
        <w:numPr>
          <w:ilvl w:val="1"/>
          <w:numId w:val="2"/>
        </w:numPr>
        <w:ind w:left="709" w:right="386" w:firstLine="425"/>
        <w:rPr>
          <w:color w:val="auto"/>
        </w:rPr>
      </w:pPr>
      <w:r w:rsidRPr="60EA432F">
        <w:rPr>
          <w:color w:val="auto"/>
        </w:rPr>
        <w:t>Safety &amp; Compliance Works</w:t>
      </w:r>
    </w:p>
    <w:p w14:paraId="0368EA80" w14:textId="77777777" w:rsidR="00181BB5" w:rsidRPr="00181BB5" w:rsidRDefault="3A403CB9" w:rsidP="009046B9">
      <w:pPr>
        <w:pStyle w:val="Default"/>
        <w:numPr>
          <w:ilvl w:val="1"/>
          <w:numId w:val="2"/>
        </w:numPr>
        <w:ind w:left="709" w:right="386" w:firstLine="425"/>
        <w:rPr>
          <w:color w:val="auto"/>
        </w:rPr>
      </w:pPr>
      <w:r w:rsidRPr="60EA432F">
        <w:rPr>
          <w:color w:val="auto"/>
        </w:rPr>
        <w:t>Works to Street Properties</w:t>
      </w:r>
    </w:p>
    <w:p w14:paraId="6AF8D690" w14:textId="77777777" w:rsidR="00181BB5" w:rsidRPr="00181BB5" w:rsidRDefault="3A403CB9" w:rsidP="009046B9">
      <w:pPr>
        <w:pStyle w:val="Default"/>
        <w:numPr>
          <w:ilvl w:val="1"/>
          <w:numId w:val="2"/>
        </w:numPr>
        <w:ind w:left="709" w:right="386" w:firstLine="425"/>
        <w:rPr>
          <w:color w:val="auto"/>
        </w:rPr>
      </w:pPr>
      <w:r w:rsidRPr="60EA432F">
        <w:rPr>
          <w:color w:val="auto"/>
        </w:rPr>
        <w:t>Works to Blocks &amp; Flats</w:t>
      </w:r>
    </w:p>
    <w:p w14:paraId="674C36A4" w14:textId="77777777" w:rsidR="00181BB5" w:rsidRPr="00181BB5" w:rsidRDefault="3A403CB9" w:rsidP="009046B9">
      <w:pPr>
        <w:pStyle w:val="Default"/>
        <w:numPr>
          <w:ilvl w:val="1"/>
          <w:numId w:val="2"/>
        </w:numPr>
        <w:ind w:left="709" w:right="386" w:firstLine="425"/>
        <w:rPr>
          <w:color w:val="auto"/>
        </w:rPr>
      </w:pPr>
      <w:r w:rsidRPr="60EA432F">
        <w:rPr>
          <w:color w:val="auto"/>
        </w:rPr>
        <w:t>Other Priority Spend Areas</w:t>
      </w:r>
    </w:p>
    <w:p w14:paraId="71D913CE" w14:textId="77777777" w:rsidR="00181BB5" w:rsidRPr="00181BB5" w:rsidRDefault="3A403CB9" w:rsidP="009046B9">
      <w:pPr>
        <w:pStyle w:val="Default"/>
        <w:numPr>
          <w:ilvl w:val="1"/>
          <w:numId w:val="2"/>
        </w:numPr>
        <w:ind w:left="709" w:right="386" w:firstLine="425"/>
        <w:rPr>
          <w:color w:val="auto"/>
        </w:rPr>
      </w:pPr>
      <w:r w:rsidRPr="60EA432F">
        <w:rPr>
          <w:color w:val="auto"/>
        </w:rPr>
        <w:t>Works to Energy Efficiency Targets</w:t>
      </w:r>
    </w:p>
    <w:p w14:paraId="69FE8349" w14:textId="3A38ACD0" w:rsidR="00A03AAD" w:rsidRDefault="3A403CB9" w:rsidP="009046B9">
      <w:pPr>
        <w:pStyle w:val="Default"/>
        <w:numPr>
          <w:ilvl w:val="1"/>
          <w:numId w:val="2"/>
        </w:numPr>
        <w:ind w:left="709" w:right="386" w:firstLine="425"/>
        <w:rPr>
          <w:color w:val="auto"/>
        </w:rPr>
      </w:pPr>
      <w:r w:rsidRPr="60EA432F">
        <w:rPr>
          <w:color w:val="auto"/>
        </w:rPr>
        <w:t>Capital Projects</w:t>
      </w:r>
    </w:p>
    <w:p w14:paraId="6569F18B" w14:textId="77777777" w:rsidR="00C575D8" w:rsidRDefault="00C575D8" w:rsidP="00104315">
      <w:pPr>
        <w:pStyle w:val="Default"/>
        <w:ind w:left="709" w:right="386" w:hanging="709"/>
        <w:rPr>
          <w:color w:val="auto"/>
        </w:rPr>
      </w:pPr>
    </w:p>
    <w:p w14:paraId="54EDCBCF" w14:textId="427138CB" w:rsidR="00E9361A" w:rsidRDefault="16294F1B" w:rsidP="00F42D9C">
      <w:pPr>
        <w:pStyle w:val="Default"/>
        <w:numPr>
          <w:ilvl w:val="0"/>
          <w:numId w:val="1"/>
        </w:numPr>
        <w:ind w:left="426" w:right="386" w:hanging="426"/>
        <w:rPr>
          <w:color w:val="auto"/>
        </w:rPr>
      </w:pPr>
      <w:r w:rsidRPr="6F9FB908">
        <w:rPr>
          <w:color w:val="auto"/>
        </w:rPr>
        <w:t>Th</w:t>
      </w:r>
      <w:r w:rsidR="005A7318" w:rsidRPr="6F9FB908">
        <w:rPr>
          <w:color w:val="auto"/>
        </w:rPr>
        <w:t>e</w:t>
      </w:r>
      <w:r w:rsidR="4BC4A0AC" w:rsidRPr="6F9FB908">
        <w:rPr>
          <w:color w:val="auto"/>
        </w:rPr>
        <w:t xml:space="preserve"> Social Housing Acquisition and Development </w:t>
      </w:r>
      <w:r w:rsidR="008009B9" w:rsidRPr="6F9FB908">
        <w:rPr>
          <w:color w:val="auto"/>
        </w:rPr>
        <w:t>Program</w:t>
      </w:r>
      <w:r w:rsidR="3FE5B52E" w:rsidRPr="6F9FB908">
        <w:rPr>
          <w:color w:val="auto"/>
        </w:rPr>
        <w:t xml:space="preserve"> has not </w:t>
      </w:r>
      <w:r w:rsidR="131F4421" w:rsidRPr="6F9FB908">
        <w:rPr>
          <w:color w:val="auto"/>
        </w:rPr>
        <w:t xml:space="preserve">been </w:t>
      </w:r>
      <w:r w:rsidR="15C8548C" w:rsidRPr="6F9FB908">
        <w:rPr>
          <w:color w:val="auto"/>
        </w:rPr>
        <w:t xml:space="preserve">significantly </w:t>
      </w:r>
      <w:r w:rsidR="131F4421" w:rsidRPr="6F9FB908">
        <w:rPr>
          <w:color w:val="auto"/>
        </w:rPr>
        <w:t xml:space="preserve">amended other than the budgets for the schemes have been reprofiled across the years to reflect the latest </w:t>
      </w:r>
      <w:r w:rsidR="6CA2BA56" w:rsidRPr="6F9FB908">
        <w:rPr>
          <w:color w:val="auto"/>
        </w:rPr>
        <w:t xml:space="preserve">forecasts. The reprofiling is required as </w:t>
      </w:r>
      <w:r w:rsidR="300AA7BA" w:rsidRPr="6F9FB908">
        <w:rPr>
          <w:color w:val="auto"/>
        </w:rPr>
        <w:t xml:space="preserve">the schemes face many </w:t>
      </w:r>
      <w:r w:rsidR="6EE9D7E7" w:rsidRPr="6F9FB908">
        <w:rPr>
          <w:color w:val="auto"/>
        </w:rPr>
        <w:t xml:space="preserve">challenges during the development phase which can cause significant delays </w:t>
      </w:r>
      <w:r w:rsidR="74AA0F2B" w:rsidRPr="6F9FB908">
        <w:rPr>
          <w:color w:val="auto"/>
        </w:rPr>
        <w:t>–</w:t>
      </w:r>
      <w:r w:rsidR="6EE9D7E7" w:rsidRPr="6F9FB908">
        <w:rPr>
          <w:color w:val="auto"/>
        </w:rPr>
        <w:t xml:space="preserve"> </w:t>
      </w:r>
      <w:r w:rsidR="30F2FD47" w:rsidRPr="6F9FB908">
        <w:rPr>
          <w:color w:val="auto"/>
        </w:rPr>
        <w:t xml:space="preserve">planning </w:t>
      </w:r>
      <w:r w:rsidR="17E286C5" w:rsidRPr="6F9FB908">
        <w:rPr>
          <w:color w:val="auto"/>
        </w:rPr>
        <w:t xml:space="preserve">objections and </w:t>
      </w:r>
      <w:r w:rsidR="30F2FD47" w:rsidRPr="6F9FB908">
        <w:rPr>
          <w:color w:val="auto"/>
        </w:rPr>
        <w:t xml:space="preserve">policy changes, </w:t>
      </w:r>
      <w:r w:rsidR="15C8548C" w:rsidRPr="6F9FB908">
        <w:rPr>
          <w:color w:val="auto"/>
        </w:rPr>
        <w:t xml:space="preserve">and </w:t>
      </w:r>
      <w:r w:rsidR="17E286C5" w:rsidRPr="6F9FB908">
        <w:rPr>
          <w:color w:val="auto"/>
        </w:rPr>
        <w:t xml:space="preserve">procurement and </w:t>
      </w:r>
      <w:r w:rsidR="52B2FE1E" w:rsidRPr="6F9FB908">
        <w:rPr>
          <w:color w:val="auto"/>
        </w:rPr>
        <w:t>contractor issues</w:t>
      </w:r>
      <w:r w:rsidR="55F0F479" w:rsidRPr="6F9FB908">
        <w:rPr>
          <w:color w:val="auto"/>
        </w:rPr>
        <w:t>.</w:t>
      </w:r>
    </w:p>
    <w:p w14:paraId="31E8D3B8" w14:textId="77777777" w:rsidR="00916E2A" w:rsidRDefault="00916E2A" w:rsidP="00875869">
      <w:pPr>
        <w:pStyle w:val="Default"/>
        <w:ind w:left="567" w:right="386" w:hanging="567"/>
        <w:rPr>
          <w:color w:val="auto"/>
        </w:rPr>
      </w:pPr>
    </w:p>
    <w:p w14:paraId="4677508B" w14:textId="3392F5D6" w:rsidR="00250A11" w:rsidRPr="008F2A19" w:rsidRDefault="22341FE7" w:rsidP="00F42D9C">
      <w:pPr>
        <w:pStyle w:val="Default"/>
        <w:numPr>
          <w:ilvl w:val="0"/>
          <w:numId w:val="1"/>
        </w:numPr>
        <w:ind w:left="426" w:right="386" w:hanging="426"/>
        <w:rPr>
          <w:color w:val="auto"/>
        </w:rPr>
      </w:pPr>
      <w:proofErr w:type="spellStart"/>
      <w:r w:rsidRPr="6F9FB908">
        <w:rPr>
          <w:b/>
          <w:bCs/>
          <w:color w:val="auto"/>
        </w:rPr>
        <w:t>Windale</w:t>
      </w:r>
      <w:proofErr w:type="spellEnd"/>
      <w:r w:rsidRPr="6F9FB908">
        <w:rPr>
          <w:b/>
          <w:bCs/>
          <w:color w:val="auto"/>
        </w:rPr>
        <w:t xml:space="preserve"> &amp; Northbrook House -</w:t>
      </w:r>
      <w:r w:rsidRPr="6F9FB908">
        <w:rPr>
          <w:color w:val="auto"/>
        </w:rPr>
        <w:t xml:space="preserve"> £1m capital</w:t>
      </w:r>
      <w:r w:rsidR="208938D4" w:rsidRPr="6F9FB908">
        <w:rPr>
          <w:color w:val="auto"/>
        </w:rPr>
        <w:t xml:space="preserve"> investment</w:t>
      </w:r>
      <w:r w:rsidRPr="6F9FB908">
        <w:rPr>
          <w:color w:val="auto"/>
        </w:rPr>
        <w:t xml:space="preserve"> over a two-year period</w:t>
      </w:r>
      <w:r w:rsidR="208938D4" w:rsidRPr="6F9FB908">
        <w:rPr>
          <w:color w:val="auto"/>
        </w:rPr>
        <w:t xml:space="preserve"> </w:t>
      </w:r>
      <w:r w:rsidRPr="6F9FB908">
        <w:rPr>
          <w:color w:val="auto"/>
        </w:rPr>
        <w:t xml:space="preserve">to decant </w:t>
      </w:r>
      <w:proofErr w:type="spellStart"/>
      <w:r w:rsidRPr="6F9FB908">
        <w:rPr>
          <w:color w:val="auto"/>
        </w:rPr>
        <w:t>Windale</w:t>
      </w:r>
      <w:proofErr w:type="spellEnd"/>
      <w:r w:rsidRPr="6F9FB908">
        <w:rPr>
          <w:color w:val="auto"/>
        </w:rPr>
        <w:t xml:space="preserve"> House and Northbrook House, ahead of conversion to Temporary Accommodation</w:t>
      </w:r>
      <w:r w:rsidR="7355EF71" w:rsidRPr="6F9FB908">
        <w:rPr>
          <w:color w:val="auto"/>
        </w:rPr>
        <w:t xml:space="preserve"> (TA)</w:t>
      </w:r>
      <w:r w:rsidRPr="6F9FB908">
        <w:rPr>
          <w:color w:val="auto"/>
        </w:rPr>
        <w:t xml:space="preserve"> units.  This requires a significant capital outlay to cover the statutory </w:t>
      </w:r>
      <w:proofErr w:type="gramStart"/>
      <w:r w:rsidRPr="6F9FB908">
        <w:rPr>
          <w:color w:val="auto"/>
        </w:rPr>
        <w:t>Home</w:t>
      </w:r>
      <w:proofErr w:type="gramEnd"/>
      <w:r w:rsidRPr="6F9FB908">
        <w:rPr>
          <w:color w:val="auto"/>
        </w:rPr>
        <w:t xml:space="preserve"> Loss compensation payable to tenants and the cost of disturbance allowances for removals, connections, disconnections, replacement carpets, curtains </w:t>
      </w:r>
      <w:r w:rsidR="008009B9" w:rsidRPr="6F9FB908">
        <w:rPr>
          <w:color w:val="auto"/>
        </w:rPr>
        <w:t>etc.</w:t>
      </w:r>
      <w:r w:rsidRPr="6F9FB908">
        <w:rPr>
          <w:color w:val="auto"/>
        </w:rPr>
        <w:t xml:space="preserve"> and any other incidental expenses that would be incurred by tenants as part of their relocation to a new home.  It should be noted that this decant would have occurred anyway as both blocks are coming to end of life, with the decant expedited to bring critical TA units forward.</w:t>
      </w:r>
    </w:p>
    <w:p w14:paraId="61EBF57E" w14:textId="77777777" w:rsidR="00AA5FD8" w:rsidRPr="001D5554" w:rsidRDefault="00AA5FD8" w:rsidP="00104315">
      <w:pPr>
        <w:pStyle w:val="Default"/>
        <w:ind w:left="709" w:right="386" w:hanging="709"/>
        <w:rPr>
          <w:b/>
          <w:color w:val="auto"/>
        </w:rPr>
      </w:pPr>
    </w:p>
    <w:p w14:paraId="3435E048" w14:textId="4265688C" w:rsidR="00832276" w:rsidRPr="00805FFA" w:rsidRDefault="00832276" w:rsidP="00F42D9C">
      <w:pPr>
        <w:pStyle w:val="ListParagraph"/>
        <w:numPr>
          <w:ilvl w:val="0"/>
          <w:numId w:val="1"/>
        </w:numPr>
        <w:ind w:left="426" w:hanging="426"/>
        <w:rPr>
          <w:rFonts w:eastAsia="Calibri" w:cs="Arial"/>
        </w:rPr>
      </w:pPr>
      <w:r w:rsidRPr="6F9FB908">
        <w:rPr>
          <w:rFonts w:eastAsia="Calibri" w:cs="Arial"/>
        </w:rPr>
        <w:t>The financing of the</w:t>
      </w:r>
      <w:r w:rsidR="007E3CFF" w:rsidRPr="6F9FB908">
        <w:rPr>
          <w:rFonts w:eastAsia="Calibri" w:cs="Arial"/>
        </w:rPr>
        <w:t xml:space="preserve"> HRA Capital Programme is from capital r</w:t>
      </w:r>
      <w:r w:rsidRPr="6F9FB908">
        <w:rPr>
          <w:rFonts w:eastAsia="Calibri" w:cs="Arial"/>
        </w:rPr>
        <w:t>eceipts £</w:t>
      </w:r>
      <w:r w:rsidR="00843A93" w:rsidRPr="6F9FB908">
        <w:rPr>
          <w:rFonts w:eastAsia="Calibri" w:cs="Arial"/>
        </w:rPr>
        <w:t>3</w:t>
      </w:r>
      <w:r w:rsidR="00FF1C33" w:rsidRPr="6F9FB908">
        <w:rPr>
          <w:rFonts w:eastAsia="Calibri" w:cs="Arial"/>
        </w:rPr>
        <w:t>7</w:t>
      </w:r>
      <w:r w:rsidRPr="6F9FB908">
        <w:rPr>
          <w:rFonts w:eastAsia="Calibri" w:cs="Arial"/>
        </w:rPr>
        <w:t xml:space="preserve"> million, </w:t>
      </w:r>
      <w:r w:rsidR="00BE2EA7" w:rsidRPr="6F9FB908">
        <w:rPr>
          <w:rFonts w:eastAsia="Calibri" w:cs="Arial"/>
        </w:rPr>
        <w:t>(</w:t>
      </w:r>
      <w:r w:rsidR="004E19CA" w:rsidRPr="6F9FB908">
        <w:rPr>
          <w:rFonts w:eastAsia="Calibri" w:cs="Arial"/>
        </w:rPr>
        <w:t>7</w:t>
      </w:r>
      <w:r w:rsidR="00BE2EA7" w:rsidRPr="6F9FB908">
        <w:rPr>
          <w:rFonts w:eastAsia="Calibri" w:cs="Arial"/>
        </w:rPr>
        <w:t xml:space="preserve">%) </w:t>
      </w:r>
      <w:r w:rsidR="007E3CFF" w:rsidRPr="6F9FB908">
        <w:rPr>
          <w:rFonts w:eastAsia="Calibri" w:cs="Arial"/>
        </w:rPr>
        <w:t>arranged b</w:t>
      </w:r>
      <w:r w:rsidRPr="6F9FB908">
        <w:rPr>
          <w:rFonts w:eastAsia="Calibri" w:cs="Arial"/>
        </w:rPr>
        <w:t>orrowing £</w:t>
      </w:r>
      <w:r w:rsidR="004E19CA" w:rsidRPr="6F9FB908">
        <w:rPr>
          <w:rFonts w:eastAsia="Calibri" w:cs="Arial"/>
        </w:rPr>
        <w:t>391</w:t>
      </w:r>
      <w:r w:rsidRPr="6F9FB908">
        <w:rPr>
          <w:rFonts w:eastAsia="Calibri" w:cs="Arial"/>
        </w:rPr>
        <w:t xml:space="preserve"> million </w:t>
      </w:r>
      <w:r w:rsidR="00BE2EA7" w:rsidRPr="6F9FB908">
        <w:rPr>
          <w:rFonts w:eastAsia="Calibri" w:cs="Arial"/>
        </w:rPr>
        <w:t>(</w:t>
      </w:r>
      <w:r w:rsidR="00B9793F" w:rsidRPr="6F9FB908">
        <w:rPr>
          <w:rFonts w:eastAsia="Calibri" w:cs="Arial"/>
        </w:rPr>
        <w:t>7</w:t>
      </w:r>
      <w:r w:rsidR="003D3757" w:rsidRPr="6F9FB908">
        <w:rPr>
          <w:rFonts w:eastAsia="Calibri" w:cs="Arial"/>
        </w:rPr>
        <w:t>3</w:t>
      </w:r>
      <w:r w:rsidR="00BE2EA7" w:rsidRPr="6F9FB908">
        <w:rPr>
          <w:rFonts w:eastAsia="Calibri" w:cs="Arial"/>
        </w:rPr>
        <w:t xml:space="preserve">%), </w:t>
      </w:r>
      <w:r w:rsidR="007E3CFF" w:rsidRPr="6F9FB908">
        <w:rPr>
          <w:rFonts w:eastAsia="Calibri" w:cs="Arial"/>
        </w:rPr>
        <w:t>r</w:t>
      </w:r>
      <w:r w:rsidR="00BE2EA7" w:rsidRPr="6F9FB908">
        <w:rPr>
          <w:rFonts w:eastAsia="Calibri" w:cs="Arial"/>
        </w:rPr>
        <w:t>evenue £</w:t>
      </w:r>
      <w:r w:rsidR="003D3757" w:rsidRPr="6F9FB908">
        <w:rPr>
          <w:rFonts w:eastAsia="Calibri" w:cs="Arial"/>
        </w:rPr>
        <w:t>28</w:t>
      </w:r>
      <w:r w:rsidR="00BE2EA7" w:rsidRPr="6F9FB908">
        <w:rPr>
          <w:rFonts w:eastAsia="Calibri" w:cs="Arial"/>
        </w:rPr>
        <w:t xml:space="preserve"> million (</w:t>
      </w:r>
      <w:r w:rsidR="003D3757" w:rsidRPr="6F9FB908">
        <w:rPr>
          <w:rFonts w:eastAsia="Calibri" w:cs="Arial"/>
        </w:rPr>
        <w:t>5</w:t>
      </w:r>
      <w:r w:rsidR="00BE2EA7" w:rsidRPr="6F9FB908">
        <w:rPr>
          <w:rFonts w:eastAsia="Calibri" w:cs="Arial"/>
        </w:rPr>
        <w:t xml:space="preserve">%) </w:t>
      </w:r>
      <w:r w:rsidR="003A5846" w:rsidRPr="6F9FB908">
        <w:rPr>
          <w:rFonts w:eastAsia="Calibri" w:cs="Arial"/>
        </w:rPr>
        <w:t>Major Repairs Reserve £</w:t>
      </w:r>
      <w:r w:rsidR="0068607D" w:rsidRPr="6F9FB908">
        <w:rPr>
          <w:rFonts w:eastAsia="Calibri" w:cs="Arial"/>
        </w:rPr>
        <w:t>53</w:t>
      </w:r>
      <w:r w:rsidR="003A5846" w:rsidRPr="6F9FB908">
        <w:rPr>
          <w:rFonts w:eastAsia="Calibri" w:cs="Arial"/>
        </w:rPr>
        <w:t xml:space="preserve"> million (</w:t>
      </w:r>
      <w:r w:rsidR="0068607D" w:rsidRPr="6F9FB908">
        <w:rPr>
          <w:rFonts w:eastAsia="Calibri" w:cs="Arial"/>
        </w:rPr>
        <w:t>10</w:t>
      </w:r>
      <w:r w:rsidR="003A5846" w:rsidRPr="6F9FB908">
        <w:rPr>
          <w:rFonts w:eastAsia="Calibri" w:cs="Arial"/>
        </w:rPr>
        <w:t>%)</w:t>
      </w:r>
      <w:r w:rsidR="006A3211" w:rsidRPr="6F9FB908">
        <w:rPr>
          <w:rFonts w:eastAsia="Calibri" w:cs="Arial"/>
        </w:rPr>
        <w:t xml:space="preserve"> </w:t>
      </w:r>
      <w:r w:rsidR="0065280F" w:rsidRPr="6F9FB908">
        <w:rPr>
          <w:rFonts w:eastAsia="Calibri" w:cs="Arial"/>
        </w:rPr>
        <w:t xml:space="preserve">and Homes England Grants </w:t>
      </w:r>
      <w:r w:rsidR="00EC72D7" w:rsidRPr="6F9FB908">
        <w:rPr>
          <w:rFonts w:eastAsia="Calibri" w:cs="Arial"/>
        </w:rPr>
        <w:t>£</w:t>
      </w:r>
      <w:r w:rsidR="0068607D" w:rsidRPr="6F9FB908">
        <w:rPr>
          <w:rFonts w:eastAsia="Calibri" w:cs="Arial"/>
        </w:rPr>
        <w:t>29</w:t>
      </w:r>
      <w:r w:rsidR="0065280F" w:rsidRPr="6F9FB908">
        <w:rPr>
          <w:rFonts w:eastAsia="Calibri" w:cs="Arial"/>
        </w:rPr>
        <w:t xml:space="preserve"> million (</w:t>
      </w:r>
      <w:r w:rsidR="00805FFA" w:rsidRPr="6F9FB908">
        <w:rPr>
          <w:rFonts w:eastAsia="Calibri" w:cs="Arial"/>
        </w:rPr>
        <w:t>5</w:t>
      </w:r>
      <w:r w:rsidR="0065280F" w:rsidRPr="6F9FB908">
        <w:rPr>
          <w:rFonts w:eastAsia="Calibri" w:cs="Arial"/>
        </w:rPr>
        <w:t>%)</w:t>
      </w:r>
    </w:p>
    <w:p w14:paraId="7110B3F4" w14:textId="77777777" w:rsidR="000E0DC6" w:rsidRPr="00B96FC0" w:rsidRDefault="000E0DC6" w:rsidP="00875869">
      <w:pPr>
        <w:ind w:left="426" w:hanging="426"/>
        <w:rPr>
          <w:rFonts w:eastAsia="Calibri" w:cs="Arial"/>
          <w:highlight w:val="yellow"/>
        </w:rPr>
      </w:pPr>
    </w:p>
    <w:p w14:paraId="49E0B32F" w14:textId="77777777" w:rsidR="003A0255" w:rsidRPr="00B96FC0" w:rsidRDefault="009A6B0F" w:rsidP="002F1C48">
      <w:pPr>
        <w:tabs>
          <w:tab w:val="left" w:pos="630"/>
        </w:tabs>
        <w:rPr>
          <w:b/>
        </w:rPr>
      </w:pPr>
      <w:r w:rsidRPr="3274C890">
        <w:rPr>
          <w:b/>
        </w:rPr>
        <w:t>Risk Implications impacting the Capital Programme</w:t>
      </w:r>
    </w:p>
    <w:p w14:paraId="4C46E984" w14:textId="77777777" w:rsidR="00C8620D" w:rsidRPr="00B96FC0" w:rsidRDefault="00C8620D" w:rsidP="002F1C48">
      <w:pPr>
        <w:rPr>
          <w:b/>
        </w:rPr>
      </w:pPr>
    </w:p>
    <w:p w14:paraId="577945D1" w14:textId="77777777" w:rsidR="009A6B0F" w:rsidRPr="00B96FC0" w:rsidRDefault="249B6D59" w:rsidP="00F42D9C">
      <w:pPr>
        <w:pStyle w:val="ListParagraph"/>
        <w:numPr>
          <w:ilvl w:val="0"/>
          <w:numId w:val="1"/>
        </w:numPr>
        <w:ind w:left="426" w:right="386" w:hanging="426"/>
      </w:pPr>
      <w:r>
        <w:lastRenderedPageBreak/>
        <w:t xml:space="preserve">The main risks to the </w:t>
      </w:r>
      <w:r w:rsidR="24250FA3">
        <w:t>C</w:t>
      </w:r>
      <w:r w:rsidR="4D6D5776">
        <w:t xml:space="preserve">apital Programme are set out in </w:t>
      </w:r>
      <w:r>
        <w:t xml:space="preserve">Appendix </w:t>
      </w:r>
      <w:r w:rsidR="76757199">
        <w:t>8</w:t>
      </w:r>
      <w:r>
        <w:t xml:space="preserve"> </w:t>
      </w:r>
      <w:r w:rsidR="4D6D5776">
        <w:t>and summarised below</w:t>
      </w:r>
      <w:r>
        <w:t>:</w:t>
      </w:r>
    </w:p>
    <w:p w14:paraId="62784D19" w14:textId="77777777" w:rsidR="009A6B0F" w:rsidRPr="00B96FC0" w:rsidRDefault="009A6B0F" w:rsidP="00104315">
      <w:pPr>
        <w:ind w:left="709" w:right="386" w:hanging="709"/>
      </w:pPr>
    </w:p>
    <w:p w14:paraId="3C32A0AF" w14:textId="5F938A33" w:rsidR="009A6B0F" w:rsidRPr="00B96FC0" w:rsidRDefault="00F01503" w:rsidP="009046B9">
      <w:pPr>
        <w:numPr>
          <w:ilvl w:val="0"/>
          <w:numId w:val="19"/>
        </w:numPr>
        <w:tabs>
          <w:tab w:val="clear" w:pos="1495"/>
        </w:tabs>
        <w:ind w:left="1418" w:right="386" w:hanging="425"/>
      </w:pPr>
      <w:r>
        <w:t>Right to buy d</w:t>
      </w:r>
      <w:r w:rsidR="009A6B0F">
        <w:t>isposals</w:t>
      </w:r>
      <w:r w:rsidR="00DF0D5E">
        <w:t xml:space="preserve"> as detailed </w:t>
      </w:r>
      <w:r>
        <w:t xml:space="preserve">in the assumptions </w:t>
      </w:r>
      <w:r w:rsidR="00DF0D5E">
        <w:t>are</w:t>
      </w:r>
      <w:r w:rsidR="009A6B0F">
        <w:t xml:space="preserve"> not </w:t>
      </w:r>
      <w:r>
        <w:t xml:space="preserve">as forecast </w:t>
      </w:r>
      <w:r w:rsidR="009A6B0F">
        <w:t>causing a shortfall in funding of schemes</w:t>
      </w:r>
      <w:r w:rsidR="006A3211">
        <w:t>.</w:t>
      </w:r>
    </w:p>
    <w:p w14:paraId="7D4B22ED" w14:textId="6E46F649" w:rsidR="00811E2D" w:rsidRPr="00B96FC0" w:rsidRDefault="00811E2D" w:rsidP="009046B9">
      <w:pPr>
        <w:numPr>
          <w:ilvl w:val="0"/>
          <w:numId w:val="19"/>
        </w:numPr>
        <w:tabs>
          <w:tab w:val="clear" w:pos="1495"/>
        </w:tabs>
        <w:ind w:left="567" w:right="386" w:firstLine="426"/>
      </w:pPr>
      <w:r>
        <w:t xml:space="preserve">Delays in construction of new homes by </w:t>
      </w:r>
      <w:proofErr w:type="spellStart"/>
      <w:r>
        <w:t>O</w:t>
      </w:r>
      <w:r w:rsidR="4B017F84">
        <w:t>XPlace</w:t>
      </w:r>
      <w:proofErr w:type="spellEnd"/>
      <w:r w:rsidR="006A3211">
        <w:t>.</w:t>
      </w:r>
    </w:p>
    <w:p w14:paraId="4687D7A2" w14:textId="02ECCB1A" w:rsidR="009A6B0F" w:rsidRPr="00B96FC0" w:rsidRDefault="009A6B0F" w:rsidP="009046B9">
      <w:pPr>
        <w:numPr>
          <w:ilvl w:val="0"/>
          <w:numId w:val="19"/>
        </w:numPr>
        <w:tabs>
          <w:tab w:val="clear" w:pos="1495"/>
          <w:tab w:val="num" w:pos="630"/>
        </w:tabs>
        <w:ind w:left="567" w:right="386" w:firstLine="426"/>
        <w:jc w:val="both"/>
      </w:pPr>
      <w:r>
        <w:t xml:space="preserve">Slippage in </w:t>
      </w:r>
      <w:r w:rsidR="00DF0D5E">
        <w:t>C</w:t>
      </w:r>
      <w:r>
        <w:t xml:space="preserve">apital </w:t>
      </w:r>
      <w:r w:rsidR="00DF0D5E">
        <w:t>P</w:t>
      </w:r>
      <w:r>
        <w:t xml:space="preserve">rogramme and impact on </w:t>
      </w:r>
      <w:r w:rsidR="00E34F9A">
        <w:t>delivery of priorities</w:t>
      </w:r>
      <w:r w:rsidR="006A3211">
        <w:t>.</w:t>
      </w:r>
    </w:p>
    <w:p w14:paraId="64682D4D" w14:textId="336348CE" w:rsidR="009A6B0F" w:rsidRPr="00B96FC0" w:rsidRDefault="009A6B0F" w:rsidP="009046B9">
      <w:pPr>
        <w:numPr>
          <w:ilvl w:val="0"/>
          <w:numId w:val="19"/>
        </w:numPr>
        <w:tabs>
          <w:tab w:val="clear" w:pos="1495"/>
          <w:tab w:val="num" w:pos="630"/>
        </w:tabs>
        <w:ind w:left="567" w:right="386" w:firstLine="426"/>
        <w:jc w:val="both"/>
      </w:pPr>
      <w:r>
        <w:t>Robustness of estimates</w:t>
      </w:r>
      <w:r w:rsidR="006A3211">
        <w:t>.</w:t>
      </w:r>
    </w:p>
    <w:p w14:paraId="0B9EDFCF" w14:textId="77777777" w:rsidR="001A54CF" w:rsidRPr="00B96FC0" w:rsidRDefault="001A54CF" w:rsidP="00104315">
      <w:pPr>
        <w:ind w:left="567" w:right="386" w:firstLine="426"/>
        <w:jc w:val="both"/>
        <w:rPr>
          <w:b/>
        </w:rPr>
      </w:pPr>
    </w:p>
    <w:p w14:paraId="68FCACD6" w14:textId="77777777" w:rsidR="00E66B72" w:rsidRPr="00B96FC0" w:rsidRDefault="00E66B72" w:rsidP="00DA17E9">
      <w:pPr>
        <w:tabs>
          <w:tab w:val="left" w:pos="630"/>
        </w:tabs>
        <w:ind w:left="709" w:right="386" w:hanging="709"/>
        <w:jc w:val="both"/>
        <w:rPr>
          <w:b/>
        </w:rPr>
      </w:pPr>
      <w:r w:rsidRPr="3274C890">
        <w:rPr>
          <w:b/>
        </w:rPr>
        <w:t>Budget next steps</w:t>
      </w:r>
    </w:p>
    <w:p w14:paraId="407F8720" w14:textId="77777777" w:rsidR="00E66B72" w:rsidRPr="00B96FC0" w:rsidRDefault="00E66B72" w:rsidP="00DA17E9">
      <w:pPr>
        <w:ind w:left="709" w:right="386" w:hanging="709"/>
        <w:jc w:val="both"/>
      </w:pPr>
    </w:p>
    <w:p w14:paraId="776FBA5A" w14:textId="77777777" w:rsidR="00DE3FBB" w:rsidRPr="00B96FC0" w:rsidRDefault="0252C461" w:rsidP="00F42D9C">
      <w:pPr>
        <w:pStyle w:val="ListParagraph"/>
        <w:numPr>
          <w:ilvl w:val="0"/>
          <w:numId w:val="1"/>
        </w:numPr>
        <w:ind w:left="426" w:right="386" w:hanging="426"/>
        <w:jc w:val="both"/>
      </w:pPr>
      <w:r>
        <w:t>The timetable for consultation and for Budget approval by Council is set out in the following table:</w:t>
      </w:r>
    </w:p>
    <w:p w14:paraId="66D4A60C" w14:textId="77777777" w:rsidR="00607E30" w:rsidRPr="00B96FC0" w:rsidRDefault="00607E30" w:rsidP="00104315">
      <w:pPr>
        <w:ind w:left="709" w:right="386" w:hanging="709"/>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4"/>
        <w:gridCol w:w="2636"/>
      </w:tblGrid>
      <w:tr w:rsidR="00B47C41" w:rsidRPr="00D61FE7" w14:paraId="26ACC06F" w14:textId="77777777" w:rsidTr="60EA432F">
        <w:tc>
          <w:tcPr>
            <w:tcW w:w="8933" w:type="dxa"/>
            <w:gridSpan w:val="2"/>
            <w:shd w:val="clear" w:color="auto" w:fill="BFBFBF" w:themeFill="background1" w:themeFillShade="BF"/>
          </w:tcPr>
          <w:p w14:paraId="69E58F06" w14:textId="26D7729B" w:rsidR="00B47C41" w:rsidRPr="00D61FE7" w:rsidRDefault="1284909E" w:rsidP="60EA432F">
            <w:pPr>
              <w:ind w:right="386"/>
              <w:rPr>
                <w:b/>
                <w:bCs/>
              </w:rPr>
            </w:pPr>
            <w:r w:rsidRPr="60EA432F">
              <w:rPr>
                <w:b/>
                <w:bCs/>
              </w:rPr>
              <w:t xml:space="preserve">Table </w:t>
            </w:r>
            <w:r w:rsidR="3804942B" w:rsidRPr="60EA432F">
              <w:rPr>
                <w:b/>
                <w:bCs/>
              </w:rPr>
              <w:t>1</w:t>
            </w:r>
            <w:r w:rsidR="0DB6A896" w:rsidRPr="60EA432F">
              <w:rPr>
                <w:b/>
                <w:bCs/>
              </w:rPr>
              <w:t>2</w:t>
            </w:r>
            <w:r w:rsidR="75C1C4DF" w:rsidRPr="60EA432F">
              <w:rPr>
                <w:b/>
                <w:bCs/>
              </w:rPr>
              <w:t>:</w:t>
            </w:r>
            <w:r w:rsidRPr="60EA432F">
              <w:rPr>
                <w:b/>
                <w:bCs/>
              </w:rPr>
              <w:t xml:space="preserve"> Budget Consultation Timetable</w:t>
            </w:r>
          </w:p>
        </w:tc>
      </w:tr>
      <w:tr w:rsidR="002B3BBA" w:rsidRPr="00D61FE7" w14:paraId="1AE3B6FF" w14:textId="77777777" w:rsidTr="60EA432F">
        <w:tc>
          <w:tcPr>
            <w:tcW w:w="6266" w:type="dxa"/>
            <w:vAlign w:val="center"/>
          </w:tcPr>
          <w:p w14:paraId="4C5F2157" w14:textId="77777777" w:rsidR="002B3BBA" w:rsidRPr="00D61FE7" w:rsidRDefault="002B3BBA" w:rsidP="00DA17E9">
            <w:pPr>
              <w:ind w:right="386"/>
              <w:jc w:val="both"/>
            </w:pPr>
            <w:r w:rsidRPr="00D61FE7">
              <w:t>Consultation Budget Report to C</w:t>
            </w:r>
            <w:r w:rsidR="007E3CFF" w:rsidRPr="00D61FE7">
              <w:t>abinet</w:t>
            </w:r>
          </w:p>
        </w:tc>
        <w:tc>
          <w:tcPr>
            <w:tcW w:w="2667" w:type="dxa"/>
            <w:vAlign w:val="center"/>
          </w:tcPr>
          <w:p w14:paraId="788ED73A" w14:textId="2B228299" w:rsidR="002B3BBA" w:rsidRPr="00D61FE7" w:rsidRDefault="17EA641A" w:rsidP="00DA70E0">
            <w:pPr>
              <w:ind w:right="7"/>
              <w:jc w:val="right"/>
            </w:pPr>
            <w:r>
              <w:t>1</w:t>
            </w:r>
            <w:r w:rsidR="7890170E">
              <w:t>1</w:t>
            </w:r>
            <w:r w:rsidR="030E15CD">
              <w:t>th</w:t>
            </w:r>
            <w:r w:rsidR="288F8C28">
              <w:t xml:space="preserve"> December </w:t>
            </w:r>
            <w:r w:rsidR="007E3CFF">
              <w:t>20</w:t>
            </w:r>
            <w:r w:rsidR="05CABB85">
              <w:t>2</w:t>
            </w:r>
            <w:r w:rsidR="62471804">
              <w:t>4</w:t>
            </w:r>
          </w:p>
        </w:tc>
      </w:tr>
      <w:tr w:rsidR="002B3BBA" w:rsidRPr="00D61FE7" w14:paraId="3F865946" w14:textId="77777777" w:rsidTr="60EA432F">
        <w:tc>
          <w:tcPr>
            <w:tcW w:w="6266" w:type="dxa"/>
            <w:vAlign w:val="center"/>
          </w:tcPr>
          <w:p w14:paraId="2CF00FE8" w14:textId="77777777" w:rsidR="002B3BBA" w:rsidRPr="00D61FE7" w:rsidRDefault="002B3BBA" w:rsidP="00DA17E9">
            <w:pPr>
              <w:ind w:right="386"/>
              <w:jc w:val="both"/>
            </w:pPr>
            <w:r w:rsidRPr="00D61FE7">
              <w:t>Budget Consultation Period</w:t>
            </w:r>
          </w:p>
        </w:tc>
        <w:tc>
          <w:tcPr>
            <w:tcW w:w="2667" w:type="dxa"/>
            <w:vAlign w:val="center"/>
          </w:tcPr>
          <w:p w14:paraId="109F04C3" w14:textId="55D6D0E8" w:rsidR="002B3BBA" w:rsidRPr="00D61FE7" w:rsidRDefault="05CABB85" w:rsidP="00DA70E0">
            <w:pPr>
              <w:ind w:right="7"/>
              <w:jc w:val="right"/>
            </w:pPr>
            <w:r>
              <w:t>1</w:t>
            </w:r>
            <w:r w:rsidR="565B7E1F">
              <w:t>2</w:t>
            </w:r>
            <w:r w:rsidR="5E29E4C4">
              <w:t>th</w:t>
            </w:r>
            <w:r w:rsidR="2135C7DB">
              <w:t xml:space="preserve"> </w:t>
            </w:r>
            <w:r w:rsidR="288F8C28">
              <w:t>December to</w:t>
            </w:r>
            <w:r w:rsidR="00F81726">
              <w:br/>
            </w:r>
            <w:r w:rsidR="288F8C28">
              <w:t xml:space="preserve"> </w:t>
            </w:r>
            <w:r w:rsidR="00BD3441">
              <w:t>31</w:t>
            </w:r>
            <w:r w:rsidR="00BD3441" w:rsidRPr="60EA432F">
              <w:rPr>
                <w:vertAlign w:val="superscript"/>
              </w:rPr>
              <w:t>st</w:t>
            </w:r>
            <w:r w:rsidR="00BD3441">
              <w:t xml:space="preserve"> </w:t>
            </w:r>
            <w:r w:rsidR="288F8C28">
              <w:t>January 20</w:t>
            </w:r>
            <w:r w:rsidR="7722A698">
              <w:t>2</w:t>
            </w:r>
            <w:r w:rsidR="62471804">
              <w:t>5</w:t>
            </w:r>
          </w:p>
        </w:tc>
      </w:tr>
      <w:tr w:rsidR="002B3BBA" w:rsidRPr="00D61FE7" w14:paraId="07C9F220" w14:textId="77777777" w:rsidTr="60EA432F">
        <w:tc>
          <w:tcPr>
            <w:tcW w:w="6266" w:type="dxa"/>
            <w:vAlign w:val="center"/>
          </w:tcPr>
          <w:p w14:paraId="201BA142" w14:textId="77777777" w:rsidR="002B3BBA" w:rsidRPr="00D61FE7" w:rsidRDefault="002B3BBA" w:rsidP="00DA17E9">
            <w:pPr>
              <w:ind w:right="386"/>
              <w:jc w:val="both"/>
            </w:pPr>
            <w:r w:rsidRPr="00D61FE7">
              <w:t>Final Budget Report to C</w:t>
            </w:r>
            <w:r w:rsidR="007E3CFF" w:rsidRPr="00D61FE7">
              <w:t>abinet</w:t>
            </w:r>
            <w:r w:rsidRPr="00D61FE7">
              <w:t xml:space="preserve"> including </w:t>
            </w:r>
            <w:r w:rsidR="00506E70" w:rsidRPr="00D61FE7">
              <w:t>outcome of Consultation</w:t>
            </w:r>
          </w:p>
        </w:tc>
        <w:tc>
          <w:tcPr>
            <w:tcW w:w="2667" w:type="dxa"/>
            <w:vAlign w:val="center"/>
          </w:tcPr>
          <w:p w14:paraId="5F0617BF" w14:textId="4F6B60D6" w:rsidR="002B3BBA" w:rsidRPr="00D61FE7" w:rsidRDefault="00D61FE7" w:rsidP="00DA70E0">
            <w:pPr>
              <w:ind w:right="7"/>
              <w:jc w:val="right"/>
            </w:pPr>
            <w:r w:rsidRPr="00D61FE7">
              <w:t>5</w:t>
            </w:r>
            <w:r w:rsidR="00F96498" w:rsidRPr="00D61FE7">
              <w:t>th</w:t>
            </w:r>
            <w:r w:rsidR="0069562D" w:rsidRPr="00D61FE7">
              <w:t xml:space="preserve"> February 20</w:t>
            </w:r>
            <w:r w:rsidR="00AD7431" w:rsidRPr="00D61FE7">
              <w:t>2</w:t>
            </w:r>
            <w:r w:rsidRPr="00D61FE7">
              <w:t>5</w:t>
            </w:r>
          </w:p>
        </w:tc>
      </w:tr>
      <w:tr w:rsidR="002B3BBA" w:rsidRPr="00D61FE7" w14:paraId="72AAB1A2" w14:textId="77777777" w:rsidTr="60EA432F">
        <w:tc>
          <w:tcPr>
            <w:tcW w:w="6266" w:type="dxa"/>
            <w:vAlign w:val="center"/>
          </w:tcPr>
          <w:p w14:paraId="695A7324" w14:textId="77777777" w:rsidR="002B3BBA" w:rsidRPr="00D61FE7" w:rsidRDefault="002B3BBA" w:rsidP="00DA17E9">
            <w:pPr>
              <w:ind w:right="386"/>
              <w:jc w:val="both"/>
            </w:pPr>
            <w:r w:rsidRPr="00D61FE7">
              <w:t>Budget approval and Council Tax Setting</w:t>
            </w:r>
            <w:r w:rsidR="007E3CFF" w:rsidRPr="00D61FE7">
              <w:t xml:space="preserve"> Council</w:t>
            </w:r>
          </w:p>
        </w:tc>
        <w:tc>
          <w:tcPr>
            <w:tcW w:w="2667" w:type="dxa"/>
            <w:vAlign w:val="center"/>
          </w:tcPr>
          <w:p w14:paraId="4E000AC9" w14:textId="5D61CAC5" w:rsidR="002B3BBA" w:rsidRPr="00D61FE7" w:rsidRDefault="00D61FE7" w:rsidP="00DA70E0">
            <w:pPr>
              <w:ind w:right="7"/>
              <w:jc w:val="right"/>
            </w:pPr>
            <w:r w:rsidRPr="00D61FE7">
              <w:t>13</w:t>
            </w:r>
            <w:r w:rsidR="00DA70E0" w:rsidRPr="00D61FE7">
              <w:t>st</w:t>
            </w:r>
            <w:r w:rsidR="002B3BBA" w:rsidRPr="00D61FE7">
              <w:t xml:space="preserve"> Febru</w:t>
            </w:r>
            <w:r w:rsidR="00E83500" w:rsidRPr="00D61FE7">
              <w:t>a</w:t>
            </w:r>
            <w:r w:rsidR="002B3BBA" w:rsidRPr="00D61FE7">
              <w:t>ry 20</w:t>
            </w:r>
            <w:r w:rsidR="00AD7431" w:rsidRPr="00D61FE7">
              <w:t>2</w:t>
            </w:r>
            <w:r w:rsidRPr="00D61FE7">
              <w:t>5</w:t>
            </w:r>
          </w:p>
        </w:tc>
      </w:tr>
    </w:tbl>
    <w:p w14:paraId="196D9448" w14:textId="77777777" w:rsidR="002B3BBA" w:rsidRPr="00D61FE7" w:rsidRDefault="002B3BBA" w:rsidP="00DA17E9">
      <w:pPr>
        <w:ind w:left="720" w:right="386"/>
        <w:jc w:val="both"/>
      </w:pPr>
    </w:p>
    <w:p w14:paraId="1BDE4E86" w14:textId="77777777" w:rsidR="00815874" w:rsidRPr="00D61FE7" w:rsidRDefault="3D1A4354" w:rsidP="00F42D9C">
      <w:pPr>
        <w:pStyle w:val="ListParagraph"/>
        <w:numPr>
          <w:ilvl w:val="0"/>
          <w:numId w:val="1"/>
        </w:numPr>
        <w:ind w:left="426" w:right="386" w:hanging="426"/>
        <w:rPr>
          <w:rFonts w:cs="Arial"/>
        </w:rPr>
      </w:pPr>
      <w:r w:rsidRPr="6F9FB908">
        <w:rPr>
          <w:rFonts w:cs="Arial"/>
          <w:color w:val="000000" w:themeColor="text1"/>
        </w:rPr>
        <w:t xml:space="preserve">The Council will </w:t>
      </w:r>
      <w:r w:rsidR="7722A698" w:rsidRPr="6F9FB908">
        <w:rPr>
          <w:rFonts w:cs="Arial"/>
          <w:color w:val="000000" w:themeColor="text1"/>
        </w:rPr>
        <w:t xml:space="preserve">make use of its </w:t>
      </w:r>
      <w:r w:rsidR="1F2437CE" w:rsidRPr="6F9FB908">
        <w:rPr>
          <w:rFonts w:cs="Arial"/>
          <w:color w:val="000000" w:themeColor="text1"/>
        </w:rPr>
        <w:t>citizens</w:t>
      </w:r>
      <w:r w:rsidR="20E8ECEA" w:rsidRPr="6F9FB908">
        <w:rPr>
          <w:rFonts w:cs="Arial"/>
          <w:color w:val="000000" w:themeColor="text1"/>
        </w:rPr>
        <w:t>’</w:t>
      </w:r>
      <w:r w:rsidR="7722A698" w:rsidRPr="6F9FB908">
        <w:rPr>
          <w:rFonts w:cs="Arial"/>
          <w:color w:val="000000" w:themeColor="text1"/>
        </w:rPr>
        <w:t xml:space="preserve"> </w:t>
      </w:r>
      <w:r w:rsidR="7B7F04BB" w:rsidRPr="6F9FB908">
        <w:rPr>
          <w:rFonts w:cs="Arial"/>
          <w:color w:val="000000" w:themeColor="text1"/>
        </w:rPr>
        <w:t>panel</w:t>
      </w:r>
      <w:r w:rsidR="7722A698" w:rsidRPr="6F9FB908">
        <w:rPr>
          <w:rFonts w:cs="Arial"/>
          <w:color w:val="000000" w:themeColor="text1"/>
        </w:rPr>
        <w:t xml:space="preserve"> as well as </w:t>
      </w:r>
      <w:r w:rsidR="03903564" w:rsidRPr="6F9FB908">
        <w:rPr>
          <w:rFonts w:cs="Arial"/>
          <w:color w:val="000000" w:themeColor="text1"/>
        </w:rPr>
        <w:t>an online survey.</w:t>
      </w:r>
      <w:r w:rsidR="00F01CC2" w:rsidRPr="6F9FB908">
        <w:rPr>
          <w:rFonts w:cs="Arial"/>
          <w:color w:val="000000" w:themeColor="text1"/>
        </w:rPr>
        <w:t xml:space="preserve"> </w:t>
      </w:r>
      <w:r w:rsidR="03903564" w:rsidRPr="6F9FB908">
        <w:rPr>
          <w:rFonts w:cs="Arial"/>
          <w:color w:val="000000" w:themeColor="text1"/>
        </w:rPr>
        <w:t xml:space="preserve">The survey will be publicised in local newspapers and </w:t>
      </w:r>
      <w:r w:rsidR="007E3CFF" w:rsidRPr="6F9FB908">
        <w:rPr>
          <w:rFonts w:cs="Arial"/>
          <w:color w:val="000000" w:themeColor="text1"/>
        </w:rPr>
        <w:t xml:space="preserve">the </w:t>
      </w:r>
      <w:r w:rsidRPr="6F9FB908">
        <w:rPr>
          <w:rFonts w:cs="Arial"/>
          <w:color w:val="000000" w:themeColor="text1"/>
        </w:rPr>
        <w:t xml:space="preserve">budget </w:t>
      </w:r>
      <w:r w:rsidR="03903564" w:rsidRPr="6F9FB908">
        <w:rPr>
          <w:rFonts w:cs="Arial"/>
          <w:color w:val="000000" w:themeColor="text1"/>
        </w:rPr>
        <w:t xml:space="preserve">will be shared </w:t>
      </w:r>
      <w:r w:rsidRPr="6F9FB908">
        <w:rPr>
          <w:rFonts w:cs="Arial"/>
          <w:color w:val="000000" w:themeColor="text1"/>
        </w:rPr>
        <w:t>with other stakeholders, such as trade unions and local voluntary organisations</w:t>
      </w:r>
      <w:r w:rsidR="03903564" w:rsidRPr="6F9FB908">
        <w:rPr>
          <w:rFonts w:cs="Arial"/>
          <w:color w:val="000000" w:themeColor="text1"/>
        </w:rPr>
        <w:t xml:space="preserve"> and businesses </w:t>
      </w:r>
      <w:r w:rsidRPr="6F9FB908">
        <w:rPr>
          <w:rFonts w:cs="Arial"/>
          <w:color w:val="000000" w:themeColor="text1"/>
        </w:rPr>
        <w:t>for comment</w:t>
      </w:r>
      <w:r w:rsidR="03903564" w:rsidRPr="6F9FB908">
        <w:rPr>
          <w:rFonts w:cs="Arial"/>
          <w:color w:val="000000" w:themeColor="text1"/>
        </w:rPr>
        <w:t xml:space="preserve">. </w:t>
      </w:r>
    </w:p>
    <w:p w14:paraId="3A771F48" w14:textId="77777777" w:rsidR="00815874" w:rsidRPr="00D61FE7" w:rsidRDefault="00815874" w:rsidP="00104315">
      <w:pPr>
        <w:ind w:left="709" w:right="386" w:hanging="709"/>
        <w:rPr>
          <w:rFonts w:cs="Arial"/>
          <w:b/>
          <w:sz w:val="28"/>
          <w:szCs w:val="28"/>
        </w:rPr>
      </w:pPr>
    </w:p>
    <w:p w14:paraId="06F7D444" w14:textId="77777777" w:rsidR="00902E5A" w:rsidRPr="00D61FE7" w:rsidRDefault="5BA970E3" w:rsidP="00F42D9C">
      <w:pPr>
        <w:pStyle w:val="ListParagraph"/>
        <w:numPr>
          <w:ilvl w:val="0"/>
          <w:numId w:val="1"/>
        </w:numPr>
        <w:ind w:left="426" w:hanging="426"/>
        <w:rPr>
          <w:rFonts w:cs="Arial"/>
          <w:lang w:eastAsia="en-GB"/>
        </w:rPr>
      </w:pPr>
      <w:r w:rsidRPr="6F9FB908">
        <w:rPr>
          <w:rFonts w:cs="Arial"/>
        </w:rPr>
        <w:t>T</w:t>
      </w:r>
      <w:r w:rsidR="396DCCBB" w:rsidRPr="6F9FB908">
        <w:rPr>
          <w:rFonts w:cs="Arial"/>
        </w:rPr>
        <w:t>enant</w:t>
      </w:r>
      <w:r w:rsidR="4D6D5776" w:rsidRPr="6F9FB908">
        <w:rPr>
          <w:rFonts w:cs="Arial"/>
        </w:rPr>
        <w:t>s</w:t>
      </w:r>
      <w:r w:rsidR="396DCCBB" w:rsidRPr="6F9FB908">
        <w:rPr>
          <w:rFonts w:cs="Arial"/>
        </w:rPr>
        <w:t xml:space="preserve"> </w:t>
      </w:r>
      <w:r w:rsidR="4D6D5776" w:rsidRPr="6F9FB908">
        <w:rPr>
          <w:rFonts w:cs="Arial"/>
        </w:rPr>
        <w:t>will be consulted on</w:t>
      </w:r>
      <w:r w:rsidR="396DCCBB" w:rsidRPr="6F9FB908">
        <w:rPr>
          <w:rFonts w:cs="Arial"/>
        </w:rPr>
        <w:t xml:space="preserve"> the </w:t>
      </w:r>
      <w:r w:rsidR="396DCCBB" w:rsidRPr="6F9FB908">
        <w:rPr>
          <w:rFonts w:cs="Arial"/>
          <w:lang w:eastAsia="en-GB"/>
        </w:rPr>
        <w:t xml:space="preserve">HRA budget </w:t>
      </w:r>
      <w:r w:rsidR="0F9568D0" w:rsidRPr="6F9FB908">
        <w:rPr>
          <w:rFonts w:cs="Arial"/>
          <w:lang w:eastAsia="en-GB"/>
        </w:rPr>
        <w:t xml:space="preserve">including </w:t>
      </w:r>
      <w:r w:rsidR="396DCCBB" w:rsidRPr="6F9FB908">
        <w:rPr>
          <w:rFonts w:cs="Arial"/>
          <w:lang w:eastAsia="en-GB"/>
        </w:rPr>
        <w:t>rent and service charge changes with a special resident focus group(s) and the tenant newsletter 'Tenants in Touch'.</w:t>
      </w:r>
    </w:p>
    <w:p w14:paraId="6C96F6A3" w14:textId="77777777" w:rsidR="00E96AB6" w:rsidRPr="00D61FE7" w:rsidRDefault="00E96AB6" w:rsidP="00875869">
      <w:pPr>
        <w:pStyle w:val="ListParagraph"/>
        <w:ind w:left="709" w:hanging="709"/>
        <w:rPr>
          <w:rFonts w:cs="Arial"/>
          <w:lang w:eastAsia="en-GB"/>
        </w:rPr>
      </w:pPr>
    </w:p>
    <w:p w14:paraId="5CF90B94" w14:textId="77777777" w:rsidR="002B3BBA" w:rsidRPr="00D61FE7" w:rsidRDefault="00506E70" w:rsidP="00875869">
      <w:pPr>
        <w:ind w:left="709" w:right="386" w:hanging="709"/>
        <w:jc w:val="both"/>
        <w:rPr>
          <w:rFonts w:cs="Arial"/>
          <w:b/>
        </w:rPr>
      </w:pPr>
      <w:r w:rsidRPr="00D61FE7">
        <w:rPr>
          <w:rFonts w:cs="Arial"/>
          <w:b/>
        </w:rPr>
        <w:t>Financial Implications</w:t>
      </w:r>
    </w:p>
    <w:p w14:paraId="3B81DAA1" w14:textId="4634BA27" w:rsidR="00506E70" w:rsidRPr="00D61FE7" w:rsidRDefault="385B6260" w:rsidP="00F42D9C">
      <w:pPr>
        <w:pStyle w:val="ListParagraph"/>
        <w:numPr>
          <w:ilvl w:val="0"/>
          <w:numId w:val="1"/>
        </w:numPr>
        <w:ind w:left="426" w:right="386" w:hanging="426"/>
        <w:jc w:val="both"/>
      </w:pPr>
      <w:r w:rsidRPr="6F9FB908">
        <w:rPr>
          <w:rFonts w:cs="Arial"/>
        </w:rPr>
        <w:t>These</w:t>
      </w:r>
      <w:r>
        <w:t xml:space="preserve"> are covered within the main body of the report</w:t>
      </w:r>
      <w:r w:rsidR="00D978F9">
        <w:t>.</w:t>
      </w:r>
    </w:p>
    <w:p w14:paraId="7FAD1A1E" w14:textId="77777777" w:rsidR="002B7D72" w:rsidRPr="00D61FE7" w:rsidRDefault="002B7D72" w:rsidP="00104315">
      <w:pPr>
        <w:pStyle w:val="ListParagraph"/>
        <w:ind w:left="709" w:right="386" w:hanging="709"/>
        <w:jc w:val="both"/>
      </w:pPr>
    </w:p>
    <w:p w14:paraId="76FF77D6" w14:textId="77777777" w:rsidR="00506E70" w:rsidRPr="00D61FE7" w:rsidRDefault="00506E70" w:rsidP="00104315">
      <w:pPr>
        <w:ind w:left="709" w:right="386" w:hanging="709"/>
        <w:jc w:val="both"/>
        <w:rPr>
          <w:b/>
        </w:rPr>
      </w:pPr>
      <w:r w:rsidRPr="00D61FE7">
        <w:rPr>
          <w:b/>
        </w:rPr>
        <w:t>Legal Implications</w:t>
      </w:r>
    </w:p>
    <w:p w14:paraId="41A546A7" w14:textId="77777777" w:rsidR="00506E70" w:rsidRPr="00D61FE7" w:rsidRDefault="00506E70" w:rsidP="00104315">
      <w:pPr>
        <w:ind w:left="709" w:right="386" w:hanging="709"/>
        <w:jc w:val="both"/>
      </w:pPr>
    </w:p>
    <w:p w14:paraId="7C943C85" w14:textId="12785E06" w:rsidR="00506E70" w:rsidRPr="00D61FE7" w:rsidRDefault="2742C89D" w:rsidP="6F9FB908">
      <w:pPr>
        <w:pStyle w:val="ListParagraph"/>
        <w:numPr>
          <w:ilvl w:val="0"/>
          <w:numId w:val="1"/>
        </w:numPr>
        <w:ind w:left="709" w:right="386" w:hanging="709"/>
      </w:pPr>
      <w:r>
        <w:t xml:space="preserve">Section 30 of the Local Government Finance Act </w:t>
      </w:r>
      <w:r w:rsidR="059DFE09">
        <w:t xml:space="preserve">1992 </w:t>
      </w:r>
      <w:r>
        <w:t xml:space="preserve">requires that a local authority ‘must set a balanced budget and council tax before the </w:t>
      </w:r>
      <w:proofErr w:type="gramStart"/>
      <w:r>
        <w:t>11</w:t>
      </w:r>
      <w:r w:rsidRPr="6F9FB908">
        <w:rPr>
          <w:vertAlign w:val="superscript"/>
        </w:rPr>
        <w:t>th</w:t>
      </w:r>
      <w:proofErr w:type="gramEnd"/>
      <w:r>
        <w:t xml:space="preserve"> March in the financial year preceding that for which it is </w:t>
      </w:r>
      <w:r w:rsidR="29D53B21">
        <w:t xml:space="preserve">set’. </w:t>
      </w:r>
      <w:r w:rsidR="0F9568D0">
        <w:t xml:space="preserve">Consultation will be undertaken with the General Public for a period of </w:t>
      </w:r>
      <w:r w:rsidR="00BD3441">
        <w:t>six</w:t>
      </w:r>
      <w:r w:rsidR="0F9568D0">
        <w:t xml:space="preserve"> weeks in accordance with CIPFA Guidance.</w:t>
      </w:r>
    </w:p>
    <w:p w14:paraId="5DE2C1EF" w14:textId="77777777" w:rsidR="00F01CC2" w:rsidRPr="00D61FE7" w:rsidRDefault="00F01CC2" w:rsidP="00104315">
      <w:pPr>
        <w:ind w:left="709" w:right="386" w:hanging="709"/>
      </w:pPr>
    </w:p>
    <w:p w14:paraId="5F36E555" w14:textId="5580B8E0" w:rsidR="00F01CC2" w:rsidRPr="00D61FE7" w:rsidRDefault="00F01CC2" w:rsidP="6F9FB908">
      <w:pPr>
        <w:pStyle w:val="ListParagraph"/>
        <w:numPr>
          <w:ilvl w:val="0"/>
          <w:numId w:val="1"/>
        </w:numPr>
        <w:ind w:left="709" w:right="386" w:hanging="709"/>
      </w:pPr>
      <w:r>
        <w:t xml:space="preserve">The Local Government Act 2000 </w:t>
      </w:r>
      <w:proofErr w:type="gramStart"/>
      <w:r w:rsidR="059DFE09">
        <w:t>in particular Section</w:t>
      </w:r>
      <w:proofErr w:type="gramEnd"/>
      <w:r w:rsidR="059DFE09">
        <w:t xml:space="preserve"> 9 </w:t>
      </w:r>
      <w:r>
        <w:t xml:space="preserve">states that it is the responsibility of the full council, on the recommendation of the </w:t>
      </w:r>
      <w:r w:rsidR="4350882F">
        <w:t>Cabinet</w:t>
      </w:r>
      <w:r>
        <w:t xml:space="preserve"> to approve the budget and related council tax demand. </w:t>
      </w:r>
    </w:p>
    <w:p w14:paraId="5808E337" w14:textId="77777777" w:rsidR="00F01CC2" w:rsidRPr="00D61FE7" w:rsidRDefault="00F01CC2" w:rsidP="00104315">
      <w:pPr>
        <w:ind w:left="709" w:right="386" w:hanging="709"/>
      </w:pPr>
    </w:p>
    <w:p w14:paraId="6801A00D" w14:textId="6FFDF261" w:rsidR="00F01CC2" w:rsidRPr="00D61FE7" w:rsidRDefault="00F01CC2" w:rsidP="6F9FB908">
      <w:pPr>
        <w:pStyle w:val="ListParagraph"/>
        <w:numPr>
          <w:ilvl w:val="0"/>
          <w:numId w:val="1"/>
        </w:numPr>
        <w:ind w:left="709" w:right="386" w:hanging="709"/>
      </w:pPr>
      <w:r>
        <w:t xml:space="preserve">The Local Government Act 2003, section 25 requires the </w:t>
      </w:r>
      <w:r w:rsidR="2906DE4E">
        <w:t>C</w:t>
      </w:r>
      <w:r>
        <w:t>ouncil’s Section151 Officer</w:t>
      </w:r>
      <w:r w:rsidRPr="6F9FB908">
        <w:rPr>
          <w:b/>
          <w:bCs/>
        </w:rPr>
        <w:t xml:space="preserve"> </w:t>
      </w:r>
      <w:r>
        <w:t>to report to the council on the robustness of the estimates made and the adequacy of the proposed financial reserves assumed in the budget calculations. This will be done at Council in February 20</w:t>
      </w:r>
      <w:r w:rsidR="2906DE4E">
        <w:t>2</w:t>
      </w:r>
      <w:r w:rsidR="62471804">
        <w:t>5</w:t>
      </w:r>
      <w:r>
        <w:t xml:space="preserve"> when the Budget is approved. </w:t>
      </w:r>
    </w:p>
    <w:p w14:paraId="21660238" w14:textId="77777777" w:rsidR="00F01CC2" w:rsidRPr="00D61FE7" w:rsidRDefault="00F01CC2" w:rsidP="00104315">
      <w:pPr>
        <w:ind w:left="709" w:right="386" w:hanging="709"/>
      </w:pPr>
    </w:p>
    <w:p w14:paraId="616FDC9C" w14:textId="77777777" w:rsidR="00F01CC2" w:rsidRPr="00D61FE7" w:rsidRDefault="00F01CC2" w:rsidP="6F9FB908">
      <w:pPr>
        <w:pStyle w:val="ListParagraph"/>
        <w:numPr>
          <w:ilvl w:val="0"/>
          <w:numId w:val="1"/>
        </w:numPr>
        <w:ind w:left="709" w:right="386" w:hanging="709"/>
      </w:pPr>
      <w:r>
        <w:lastRenderedPageBreak/>
        <w:t xml:space="preserve">Failure to set a legal budget may lead to intervention from the Secretary of State under section 15 of the Local Government Act </w:t>
      </w:r>
      <w:r w:rsidR="1F2437CE">
        <w:t>1999.</w:t>
      </w:r>
    </w:p>
    <w:p w14:paraId="1B6F2457" w14:textId="77777777" w:rsidR="00F01CC2" w:rsidRPr="00D61FE7" w:rsidRDefault="00F01CC2" w:rsidP="00D870B1">
      <w:pPr>
        <w:ind w:left="709" w:right="386" w:hanging="709"/>
      </w:pPr>
    </w:p>
    <w:p w14:paraId="11D1E504" w14:textId="77777777" w:rsidR="00506E70" w:rsidRPr="00D61FE7" w:rsidRDefault="00184310" w:rsidP="00D870B1">
      <w:pPr>
        <w:ind w:left="709" w:right="386" w:hanging="709"/>
        <w:rPr>
          <w:b/>
        </w:rPr>
      </w:pPr>
      <w:r w:rsidRPr="00D61FE7">
        <w:rPr>
          <w:b/>
        </w:rPr>
        <w:t>Ris</w:t>
      </w:r>
      <w:r w:rsidR="00506E70" w:rsidRPr="00D61FE7">
        <w:rPr>
          <w:b/>
        </w:rPr>
        <w:t>k Implications</w:t>
      </w:r>
    </w:p>
    <w:p w14:paraId="3C4B81E7" w14:textId="77777777" w:rsidR="00C8620D" w:rsidRPr="00D61FE7" w:rsidRDefault="00C8620D" w:rsidP="00D870B1">
      <w:pPr>
        <w:ind w:left="709" w:right="386" w:hanging="709"/>
      </w:pPr>
    </w:p>
    <w:p w14:paraId="37C33E48" w14:textId="77777777" w:rsidR="00564AEA" w:rsidRPr="00D61FE7" w:rsidRDefault="7EE4A6DB" w:rsidP="6F9FB908">
      <w:pPr>
        <w:pStyle w:val="ListParagraph"/>
        <w:numPr>
          <w:ilvl w:val="0"/>
          <w:numId w:val="1"/>
        </w:numPr>
        <w:ind w:left="709" w:right="386" w:hanging="709"/>
      </w:pPr>
      <w:r>
        <w:t xml:space="preserve">Detailed risks are shown in </w:t>
      </w:r>
      <w:r w:rsidR="159B4CF6">
        <w:t xml:space="preserve">Appendix </w:t>
      </w:r>
      <w:r w:rsidR="76757199">
        <w:t>8</w:t>
      </w:r>
      <w:r w:rsidR="159B4CF6">
        <w:t xml:space="preserve"> of the report</w:t>
      </w:r>
      <w:r>
        <w:t xml:space="preserve">. </w:t>
      </w:r>
    </w:p>
    <w:p w14:paraId="4692E594" w14:textId="77777777" w:rsidR="002B7D72" w:rsidRPr="00D61FE7" w:rsidRDefault="002B7D72" w:rsidP="00104315">
      <w:pPr>
        <w:pStyle w:val="ListParagraph"/>
        <w:ind w:left="709" w:right="386" w:hanging="709"/>
        <w:jc w:val="both"/>
      </w:pPr>
    </w:p>
    <w:p w14:paraId="0C7E3995" w14:textId="77777777" w:rsidR="00404471" w:rsidRPr="00D61FE7" w:rsidRDefault="00404471" w:rsidP="00104315">
      <w:pPr>
        <w:ind w:left="709" w:right="386" w:hanging="709"/>
        <w:jc w:val="both"/>
        <w:rPr>
          <w:b/>
        </w:rPr>
      </w:pPr>
      <w:r w:rsidRPr="00D61FE7">
        <w:rPr>
          <w:b/>
        </w:rPr>
        <w:t>Equalities Impact Assessment</w:t>
      </w:r>
    </w:p>
    <w:p w14:paraId="30F1CE27" w14:textId="513843C4" w:rsidR="00404471" w:rsidRPr="00D61FE7" w:rsidRDefault="40A5FC8D" w:rsidP="6F9FB908">
      <w:pPr>
        <w:pStyle w:val="ListParagraph"/>
        <w:numPr>
          <w:ilvl w:val="0"/>
          <w:numId w:val="1"/>
        </w:numPr>
        <w:ind w:left="709" w:right="386" w:hanging="709"/>
        <w:jc w:val="both"/>
      </w:pPr>
      <w:r>
        <w:t>T</w:t>
      </w:r>
      <w:r w:rsidR="45335294">
        <w:t xml:space="preserve">hese are shown in Appendix </w:t>
      </w:r>
      <w:r w:rsidR="76757199">
        <w:t>9</w:t>
      </w:r>
      <w:r w:rsidR="45335294">
        <w:t xml:space="preserve"> of the report</w:t>
      </w:r>
      <w:r w:rsidR="006A3211">
        <w:t>.</w:t>
      </w:r>
    </w:p>
    <w:p w14:paraId="4E5AC2AA" w14:textId="77777777" w:rsidR="00607E30" w:rsidRPr="00D61FE7" w:rsidRDefault="00607E30" w:rsidP="00104315">
      <w:pPr>
        <w:pStyle w:val="ListParagraph"/>
        <w:ind w:left="709" w:right="386" w:hanging="709"/>
        <w:jc w:val="both"/>
      </w:pPr>
    </w:p>
    <w:p w14:paraId="4DD9B716" w14:textId="77777777" w:rsidR="00607E30" w:rsidRPr="00B96FC0" w:rsidRDefault="00607E30" w:rsidP="00607E30">
      <w:pPr>
        <w:pStyle w:val="ListParagraph"/>
        <w:ind w:left="709" w:right="386"/>
        <w:jc w:val="both"/>
        <w:rPr>
          <w:highlight w:val="yellow"/>
        </w:rPr>
      </w:pPr>
    </w:p>
    <w:p w14:paraId="3451A687" w14:textId="77777777" w:rsidR="00607E30" w:rsidRPr="00B96FC0" w:rsidRDefault="00607E30" w:rsidP="00607E30">
      <w:pPr>
        <w:pStyle w:val="ListParagraph"/>
        <w:ind w:left="709" w:right="386"/>
        <w:jc w:val="both"/>
        <w:rPr>
          <w:highlight w:val="yellow"/>
        </w:rPr>
      </w:pPr>
    </w:p>
    <w:p w14:paraId="3B6E5339" w14:textId="77777777" w:rsidR="00607E30" w:rsidRPr="00B96FC0" w:rsidRDefault="00607E30" w:rsidP="00607E30">
      <w:pPr>
        <w:pStyle w:val="ListParagraph"/>
        <w:ind w:left="709" w:right="386"/>
        <w:jc w:val="both"/>
        <w:rPr>
          <w:highlight w:val="yellow"/>
        </w:rPr>
      </w:pPr>
    </w:p>
    <w:p w14:paraId="127B84CE" w14:textId="77777777" w:rsidR="00607E30" w:rsidRPr="00B96FC0" w:rsidRDefault="00607E30" w:rsidP="00607E30">
      <w:pPr>
        <w:pStyle w:val="ListParagraph"/>
        <w:ind w:left="709" w:right="386"/>
        <w:jc w:val="both"/>
        <w:rPr>
          <w:highlight w:val="yellow"/>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2"/>
      </w:tblGrid>
      <w:tr w:rsidR="00713675" w:rsidRPr="00D61FE7" w14:paraId="21539649" w14:textId="77777777">
        <w:tc>
          <w:tcPr>
            <w:tcW w:w="8522" w:type="dxa"/>
          </w:tcPr>
          <w:p w14:paraId="5B31D209" w14:textId="04BD850B" w:rsidR="00713675" w:rsidRPr="00D61FE7" w:rsidRDefault="00713675" w:rsidP="007C20F4">
            <w:pPr>
              <w:tabs>
                <w:tab w:val="left" w:pos="720"/>
                <w:tab w:val="left" w:pos="1440"/>
                <w:tab w:val="left" w:pos="2160"/>
                <w:tab w:val="left" w:pos="2880"/>
              </w:tabs>
              <w:ind w:right="386" w:firstLine="540"/>
              <w:rPr>
                <w:sz w:val="22"/>
                <w:szCs w:val="22"/>
              </w:rPr>
            </w:pPr>
            <w:r w:rsidRPr="00D61FE7">
              <w:rPr>
                <w:b/>
                <w:bCs/>
                <w:sz w:val="22"/>
                <w:szCs w:val="22"/>
              </w:rPr>
              <w:t xml:space="preserve">Name and contact details of </w:t>
            </w:r>
            <w:r w:rsidR="006A3211" w:rsidRPr="00D61FE7">
              <w:rPr>
                <w:b/>
                <w:bCs/>
                <w:sz w:val="22"/>
                <w:szCs w:val="22"/>
              </w:rPr>
              <w:t>author: -</w:t>
            </w:r>
          </w:p>
        </w:tc>
      </w:tr>
      <w:tr w:rsidR="00713675" w:rsidRPr="00D61FE7" w14:paraId="78C9D146" w14:textId="77777777">
        <w:tc>
          <w:tcPr>
            <w:tcW w:w="8522" w:type="dxa"/>
          </w:tcPr>
          <w:p w14:paraId="1EB94165" w14:textId="77777777" w:rsidR="00713675" w:rsidRPr="00D61FE7" w:rsidRDefault="00713675" w:rsidP="007C20F4">
            <w:pPr>
              <w:tabs>
                <w:tab w:val="left" w:pos="720"/>
                <w:tab w:val="left" w:pos="1440"/>
                <w:tab w:val="left" w:pos="2160"/>
                <w:tab w:val="left" w:pos="2880"/>
              </w:tabs>
              <w:ind w:right="386" w:firstLine="540"/>
            </w:pPr>
          </w:p>
          <w:p w14:paraId="440E6F1F" w14:textId="77777777" w:rsidR="00713675" w:rsidRPr="00D61FE7" w:rsidRDefault="00713675" w:rsidP="007C20F4">
            <w:pPr>
              <w:tabs>
                <w:tab w:val="left" w:pos="720"/>
                <w:tab w:val="left" w:pos="1440"/>
                <w:tab w:val="left" w:pos="2160"/>
                <w:tab w:val="left" w:pos="2880"/>
              </w:tabs>
              <w:ind w:right="386" w:firstLine="540"/>
            </w:pPr>
            <w:r w:rsidRPr="00D61FE7">
              <w:t>Name</w:t>
            </w:r>
            <w:r w:rsidR="007A7044" w:rsidRPr="00D61FE7">
              <w:t xml:space="preserve">  </w:t>
            </w:r>
            <w:proofErr w:type="gramStart"/>
            <w:r w:rsidR="007A7044" w:rsidRPr="00D61FE7">
              <w:t xml:space="preserve">  :</w:t>
            </w:r>
            <w:proofErr w:type="gramEnd"/>
            <w:r w:rsidR="007A7044" w:rsidRPr="00D61FE7">
              <w:t xml:space="preserve">    Nigel Kennedy</w:t>
            </w:r>
          </w:p>
        </w:tc>
      </w:tr>
      <w:tr w:rsidR="00713675" w:rsidRPr="00D61FE7" w14:paraId="32C72891" w14:textId="77777777">
        <w:tc>
          <w:tcPr>
            <w:tcW w:w="8522" w:type="dxa"/>
          </w:tcPr>
          <w:p w14:paraId="716E6289" w14:textId="77777777" w:rsidR="00713675" w:rsidRPr="00D61FE7" w:rsidRDefault="00713675" w:rsidP="007C20F4">
            <w:pPr>
              <w:tabs>
                <w:tab w:val="left" w:pos="720"/>
                <w:tab w:val="left" w:pos="1440"/>
                <w:tab w:val="left" w:pos="2160"/>
                <w:tab w:val="left" w:pos="2880"/>
              </w:tabs>
              <w:ind w:right="386" w:firstLine="540"/>
            </w:pPr>
            <w:r w:rsidRPr="00D61FE7">
              <w:t>Job title</w:t>
            </w:r>
            <w:r w:rsidR="007A7044" w:rsidRPr="00D61FE7">
              <w:t xml:space="preserve"> </w:t>
            </w:r>
            <w:proofErr w:type="gramStart"/>
            <w:r w:rsidR="007A7044" w:rsidRPr="00D61FE7">
              <w:t xml:space="preserve">  :</w:t>
            </w:r>
            <w:proofErr w:type="gramEnd"/>
            <w:r w:rsidR="007A7044" w:rsidRPr="00D61FE7">
              <w:t xml:space="preserve">  Head of Fina</w:t>
            </w:r>
            <w:r w:rsidR="00A17A6E" w:rsidRPr="00D61FE7">
              <w:t>ncial Services</w:t>
            </w:r>
          </w:p>
        </w:tc>
      </w:tr>
      <w:tr w:rsidR="00713675" w:rsidRPr="00D61FE7" w14:paraId="564154A0" w14:textId="77777777">
        <w:tc>
          <w:tcPr>
            <w:tcW w:w="8522" w:type="dxa"/>
          </w:tcPr>
          <w:p w14:paraId="1D6C13D3" w14:textId="77777777" w:rsidR="00713675" w:rsidRPr="00D61FE7" w:rsidRDefault="00713675" w:rsidP="007C20F4">
            <w:pPr>
              <w:tabs>
                <w:tab w:val="left" w:pos="720"/>
                <w:tab w:val="left" w:pos="1440"/>
                <w:tab w:val="left" w:pos="2160"/>
                <w:tab w:val="left" w:pos="2880"/>
              </w:tabs>
              <w:ind w:right="386" w:firstLine="540"/>
            </w:pPr>
            <w:r w:rsidRPr="00D61FE7">
              <w:t>Service Area / Department</w:t>
            </w:r>
            <w:r w:rsidR="007A7044" w:rsidRPr="00D61FE7">
              <w:t xml:space="preserve"> </w:t>
            </w:r>
            <w:proofErr w:type="gramStart"/>
            <w:r w:rsidR="007A7044" w:rsidRPr="00D61FE7">
              <w:t xml:space="preserve">  :</w:t>
            </w:r>
            <w:proofErr w:type="gramEnd"/>
            <w:r w:rsidR="007A7044" w:rsidRPr="00D61FE7">
              <w:t xml:space="preserve"> Financ</w:t>
            </w:r>
            <w:r w:rsidR="00A17A6E" w:rsidRPr="00D61FE7">
              <w:t>ial Services</w:t>
            </w:r>
          </w:p>
        </w:tc>
      </w:tr>
      <w:tr w:rsidR="00713675" w:rsidRPr="00F81726" w14:paraId="11C892A9" w14:textId="77777777">
        <w:tc>
          <w:tcPr>
            <w:tcW w:w="8522" w:type="dxa"/>
          </w:tcPr>
          <w:p w14:paraId="23586933" w14:textId="77777777" w:rsidR="00713675" w:rsidRPr="00F81726" w:rsidRDefault="00713675" w:rsidP="007C20F4">
            <w:pPr>
              <w:tabs>
                <w:tab w:val="left" w:pos="720"/>
                <w:tab w:val="left" w:pos="1440"/>
                <w:tab w:val="left" w:pos="2160"/>
                <w:tab w:val="left" w:pos="2880"/>
              </w:tabs>
              <w:ind w:right="386" w:firstLine="540"/>
              <w:rPr>
                <w:color w:val="0000FF"/>
                <w:u w:val="single"/>
              </w:rPr>
            </w:pPr>
            <w:r w:rsidRPr="00D61FE7">
              <w:t xml:space="preserve">Tel:  01865 </w:t>
            </w:r>
            <w:proofErr w:type="gramStart"/>
            <w:r w:rsidR="007A7044" w:rsidRPr="00D61FE7">
              <w:t>252708</w:t>
            </w:r>
            <w:r w:rsidRPr="00D61FE7">
              <w:t xml:space="preserve">  e-mail</w:t>
            </w:r>
            <w:proofErr w:type="gramEnd"/>
            <w:r w:rsidRPr="00D61FE7">
              <w:t>:</w:t>
            </w:r>
            <w:r w:rsidR="007A7044" w:rsidRPr="00D61FE7">
              <w:t xml:space="preserve">   nkennedy@oxford.gov.uk</w:t>
            </w:r>
            <w:r w:rsidRPr="00F81726">
              <w:t xml:space="preserve">  </w:t>
            </w:r>
          </w:p>
        </w:tc>
      </w:tr>
    </w:tbl>
    <w:p w14:paraId="56AF1BA9" w14:textId="77777777" w:rsidR="00F4367A" w:rsidRPr="00F81726" w:rsidRDefault="00F4367A" w:rsidP="0023288D">
      <w:pPr>
        <w:ind w:right="386" w:firstLine="540"/>
        <w:rPr>
          <w:rFonts w:cs="Arial"/>
          <w:b/>
          <w:bCs/>
          <w:sz w:val="22"/>
          <w:szCs w:val="22"/>
        </w:rPr>
      </w:pPr>
    </w:p>
    <w:sectPr w:rsidR="00F4367A" w:rsidRPr="00F81726" w:rsidSect="00F42D9C">
      <w:footerReference w:type="default" r:id="rId18"/>
      <w:pgSz w:w="11906" w:h="16838"/>
      <w:pgMar w:top="851" w:right="720" w:bottom="1440" w:left="1701" w:header="708"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7EE68" w14:textId="77777777" w:rsidR="0036496A" w:rsidRDefault="0036496A">
      <w:r>
        <w:separator/>
      </w:r>
    </w:p>
  </w:endnote>
  <w:endnote w:type="continuationSeparator" w:id="0">
    <w:p w14:paraId="1FAE3AF6" w14:textId="77777777" w:rsidR="0036496A" w:rsidRDefault="0036496A">
      <w:r>
        <w:continuationSeparator/>
      </w:r>
    </w:p>
  </w:endnote>
  <w:endnote w:type="continuationNotice" w:id="1">
    <w:p w14:paraId="2278F89C" w14:textId="77777777" w:rsidR="0036496A" w:rsidRDefault="00364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FS Me">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BC6A" w14:textId="77777777" w:rsidR="008F58BB" w:rsidRPr="001D016D" w:rsidRDefault="008F58BB" w:rsidP="001D016D">
    <w:pPr>
      <w:pStyle w:val="Footer"/>
      <w:jc w:val="right"/>
      <w:rPr>
        <w:sz w:val="16"/>
        <w:szCs w:val="16"/>
      </w:rPr>
    </w:pPr>
    <w:r w:rsidRPr="001D016D">
      <w:rPr>
        <w:sz w:val="16"/>
        <w:szCs w:val="16"/>
      </w:rPr>
      <w:t xml:space="preserve">Page </w:t>
    </w:r>
    <w:r w:rsidRPr="001D016D">
      <w:rPr>
        <w:sz w:val="16"/>
        <w:szCs w:val="16"/>
      </w:rPr>
      <w:fldChar w:fldCharType="begin"/>
    </w:r>
    <w:r w:rsidRPr="001D016D">
      <w:rPr>
        <w:sz w:val="16"/>
        <w:szCs w:val="16"/>
      </w:rPr>
      <w:instrText xml:space="preserve"> PAGE </w:instrText>
    </w:r>
    <w:r w:rsidRPr="001D016D">
      <w:rPr>
        <w:sz w:val="16"/>
        <w:szCs w:val="16"/>
      </w:rPr>
      <w:fldChar w:fldCharType="separate"/>
    </w:r>
    <w:r w:rsidR="001703BF">
      <w:rPr>
        <w:noProof/>
        <w:sz w:val="16"/>
        <w:szCs w:val="16"/>
      </w:rPr>
      <w:t>5</w:t>
    </w:r>
    <w:r w:rsidRPr="001D016D">
      <w:rPr>
        <w:sz w:val="16"/>
        <w:szCs w:val="16"/>
      </w:rPr>
      <w:fldChar w:fldCharType="end"/>
    </w:r>
    <w:r w:rsidRPr="001D016D">
      <w:rPr>
        <w:sz w:val="16"/>
        <w:szCs w:val="16"/>
      </w:rPr>
      <w:t xml:space="preserve"> of </w:t>
    </w:r>
    <w:r w:rsidRPr="001D016D">
      <w:rPr>
        <w:sz w:val="16"/>
        <w:szCs w:val="16"/>
      </w:rPr>
      <w:fldChar w:fldCharType="begin"/>
    </w:r>
    <w:r w:rsidRPr="001D016D">
      <w:rPr>
        <w:sz w:val="16"/>
        <w:szCs w:val="16"/>
      </w:rPr>
      <w:instrText xml:space="preserve"> NUMPAGES </w:instrText>
    </w:r>
    <w:r w:rsidRPr="001D016D">
      <w:rPr>
        <w:sz w:val="16"/>
        <w:szCs w:val="16"/>
      </w:rPr>
      <w:fldChar w:fldCharType="separate"/>
    </w:r>
    <w:r w:rsidR="001703BF">
      <w:rPr>
        <w:noProof/>
        <w:sz w:val="16"/>
        <w:szCs w:val="16"/>
      </w:rPr>
      <w:t>35</w:t>
    </w:r>
    <w:r w:rsidRPr="001D016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5A6C" w14:textId="77777777" w:rsidR="0036496A" w:rsidRDefault="0036496A">
      <w:r>
        <w:separator/>
      </w:r>
    </w:p>
  </w:footnote>
  <w:footnote w:type="continuationSeparator" w:id="0">
    <w:p w14:paraId="1604CF6F" w14:textId="77777777" w:rsidR="0036496A" w:rsidRDefault="0036496A">
      <w:r>
        <w:continuationSeparator/>
      </w:r>
    </w:p>
  </w:footnote>
  <w:footnote w:type="continuationNotice" w:id="1">
    <w:p w14:paraId="17DCC8B5" w14:textId="77777777" w:rsidR="0036496A" w:rsidRDefault="003649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62A1AE"/>
    <w:multiLevelType w:val="hybridMultilevel"/>
    <w:tmpl w:val="59322E3E"/>
    <w:lvl w:ilvl="0" w:tplc="FFFFFFFF">
      <w:start w:val="1"/>
      <w:numFmt w:val="bullet"/>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76A29"/>
    <w:multiLevelType w:val="multilevel"/>
    <w:tmpl w:val="5704AA1A"/>
    <w:lvl w:ilvl="0">
      <w:start w:val="1"/>
      <w:numFmt w:val="decimal"/>
      <w:pStyle w:val="Level1"/>
      <w:lvlText w:val="%1."/>
      <w:lvlJc w:val="left"/>
      <w:pPr>
        <w:tabs>
          <w:tab w:val="num" w:pos="1341"/>
        </w:tabs>
        <w:ind w:left="1341" w:hanging="1200"/>
      </w:pPr>
      <w:rPr>
        <w:b w:val="0"/>
        <w:i w:val="0"/>
        <w:caps w:val="0"/>
        <w:strike w:val="0"/>
        <w:dstrike w:val="0"/>
        <w:vanish w:val="0"/>
        <w:webHidden w:val="0"/>
        <w:color w:val="0071BD"/>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200"/>
        </w:tabs>
        <w:ind w:left="1200" w:hanging="1200"/>
      </w:pPr>
    </w:lvl>
    <w:lvl w:ilvl="2">
      <w:start w:val="1"/>
      <w:numFmt w:val="decimal"/>
      <w:lvlText w:val="%1.%2.%3."/>
      <w:lvlJc w:val="left"/>
      <w:pPr>
        <w:tabs>
          <w:tab w:val="num" w:pos="1200"/>
        </w:tabs>
        <w:ind w:left="1200" w:hanging="1200"/>
      </w:pPr>
      <w:rPr>
        <w:b w:val="0"/>
        <w:i w:val="0"/>
        <w:caps w:val="0"/>
        <w:strike w:val="0"/>
        <w:dstrike w:val="0"/>
        <w:vanish w:val="0"/>
        <w:webHidden w:val="0"/>
        <w:color w:val="323232"/>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800"/>
        </w:tabs>
        <w:ind w:left="800" w:hanging="400"/>
      </w:pPr>
      <w:rPr>
        <w:rFonts w:ascii="Symbol" w:hAnsi="Symbol" w:hint="default"/>
        <w:color w:val="auto"/>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 w15:restartNumberingAfterBreak="0">
    <w:nsid w:val="03742CE2"/>
    <w:multiLevelType w:val="hybridMultilevel"/>
    <w:tmpl w:val="0A803654"/>
    <w:lvl w:ilvl="0" w:tplc="F5AA3F74">
      <w:start w:val="45"/>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D1F0F"/>
    <w:multiLevelType w:val="hybridMultilevel"/>
    <w:tmpl w:val="8F566F30"/>
    <w:lvl w:ilvl="0" w:tplc="08090017">
      <w:start w:val="1"/>
      <w:numFmt w:val="lowerLetter"/>
      <w:lvlText w:val="%1)"/>
      <w:lvlJc w:val="left"/>
      <w:pPr>
        <w:tabs>
          <w:tab w:val="num" w:pos="1495"/>
        </w:tabs>
        <w:ind w:left="1495" w:hanging="360"/>
      </w:pPr>
      <w:rPr>
        <w:rFonts w:hint="default"/>
      </w:rPr>
    </w:lvl>
    <w:lvl w:ilvl="1" w:tplc="08090003" w:tentative="1">
      <w:start w:val="1"/>
      <w:numFmt w:val="bullet"/>
      <w:lvlText w:val="o"/>
      <w:lvlJc w:val="left"/>
      <w:pPr>
        <w:tabs>
          <w:tab w:val="num" w:pos="2215"/>
        </w:tabs>
        <w:ind w:left="2215" w:hanging="360"/>
      </w:pPr>
      <w:rPr>
        <w:rFonts w:ascii="Courier New" w:hAnsi="Courier New" w:cs="Courier New" w:hint="default"/>
      </w:rPr>
    </w:lvl>
    <w:lvl w:ilvl="2" w:tplc="08090005" w:tentative="1">
      <w:start w:val="1"/>
      <w:numFmt w:val="bullet"/>
      <w:lvlText w:val=""/>
      <w:lvlJc w:val="left"/>
      <w:pPr>
        <w:tabs>
          <w:tab w:val="num" w:pos="2935"/>
        </w:tabs>
        <w:ind w:left="2935" w:hanging="360"/>
      </w:pPr>
      <w:rPr>
        <w:rFonts w:ascii="Wingdings" w:hAnsi="Wingdings" w:hint="default"/>
      </w:rPr>
    </w:lvl>
    <w:lvl w:ilvl="3" w:tplc="08090001" w:tentative="1">
      <w:start w:val="1"/>
      <w:numFmt w:val="bullet"/>
      <w:lvlText w:val=""/>
      <w:lvlJc w:val="left"/>
      <w:pPr>
        <w:tabs>
          <w:tab w:val="num" w:pos="3655"/>
        </w:tabs>
        <w:ind w:left="3655" w:hanging="360"/>
      </w:pPr>
      <w:rPr>
        <w:rFonts w:ascii="Symbol" w:hAnsi="Symbol" w:hint="default"/>
      </w:rPr>
    </w:lvl>
    <w:lvl w:ilvl="4" w:tplc="08090003" w:tentative="1">
      <w:start w:val="1"/>
      <w:numFmt w:val="bullet"/>
      <w:lvlText w:val="o"/>
      <w:lvlJc w:val="left"/>
      <w:pPr>
        <w:tabs>
          <w:tab w:val="num" w:pos="4375"/>
        </w:tabs>
        <w:ind w:left="4375" w:hanging="360"/>
      </w:pPr>
      <w:rPr>
        <w:rFonts w:ascii="Courier New" w:hAnsi="Courier New" w:cs="Courier New" w:hint="default"/>
      </w:rPr>
    </w:lvl>
    <w:lvl w:ilvl="5" w:tplc="08090005" w:tentative="1">
      <w:start w:val="1"/>
      <w:numFmt w:val="bullet"/>
      <w:lvlText w:val=""/>
      <w:lvlJc w:val="left"/>
      <w:pPr>
        <w:tabs>
          <w:tab w:val="num" w:pos="5095"/>
        </w:tabs>
        <w:ind w:left="5095" w:hanging="360"/>
      </w:pPr>
      <w:rPr>
        <w:rFonts w:ascii="Wingdings" w:hAnsi="Wingdings" w:hint="default"/>
      </w:rPr>
    </w:lvl>
    <w:lvl w:ilvl="6" w:tplc="08090001" w:tentative="1">
      <w:start w:val="1"/>
      <w:numFmt w:val="bullet"/>
      <w:lvlText w:val=""/>
      <w:lvlJc w:val="left"/>
      <w:pPr>
        <w:tabs>
          <w:tab w:val="num" w:pos="5815"/>
        </w:tabs>
        <w:ind w:left="5815" w:hanging="360"/>
      </w:pPr>
      <w:rPr>
        <w:rFonts w:ascii="Symbol" w:hAnsi="Symbol" w:hint="default"/>
      </w:rPr>
    </w:lvl>
    <w:lvl w:ilvl="7" w:tplc="08090003" w:tentative="1">
      <w:start w:val="1"/>
      <w:numFmt w:val="bullet"/>
      <w:lvlText w:val="o"/>
      <w:lvlJc w:val="left"/>
      <w:pPr>
        <w:tabs>
          <w:tab w:val="num" w:pos="6535"/>
        </w:tabs>
        <w:ind w:left="6535" w:hanging="360"/>
      </w:pPr>
      <w:rPr>
        <w:rFonts w:ascii="Courier New" w:hAnsi="Courier New" w:cs="Courier New" w:hint="default"/>
      </w:rPr>
    </w:lvl>
    <w:lvl w:ilvl="8" w:tplc="08090005" w:tentative="1">
      <w:start w:val="1"/>
      <w:numFmt w:val="bullet"/>
      <w:lvlText w:val=""/>
      <w:lvlJc w:val="left"/>
      <w:pPr>
        <w:tabs>
          <w:tab w:val="num" w:pos="7255"/>
        </w:tabs>
        <w:ind w:left="7255" w:hanging="360"/>
      </w:pPr>
      <w:rPr>
        <w:rFonts w:ascii="Wingdings" w:hAnsi="Wingdings" w:hint="default"/>
      </w:rPr>
    </w:lvl>
  </w:abstractNum>
  <w:abstractNum w:abstractNumId="4" w15:restartNumberingAfterBreak="0">
    <w:nsid w:val="0701E885"/>
    <w:multiLevelType w:val="hybridMultilevel"/>
    <w:tmpl w:val="C56C54E4"/>
    <w:lvl w:ilvl="0" w:tplc="48DA3118">
      <w:start w:val="69"/>
      <w:numFmt w:val="decimal"/>
      <w:lvlText w:val="%1"/>
      <w:lvlJc w:val="left"/>
      <w:pPr>
        <w:ind w:left="1789" w:hanging="360"/>
      </w:pPr>
    </w:lvl>
    <w:lvl w:ilvl="1" w:tplc="AE081A5E">
      <w:start w:val="1"/>
      <w:numFmt w:val="lowerLetter"/>
      <w:lvlText w:val="%2."/>
      <w:lvlJc w:val="left"/>
      <w:pPr>
        <w:ind w:left="2160" w:hanging="360"/>
      </w:pPr>
    </w:lvl>
    <w:lvl w:ilvl="2" w:tplc="D4B4817C">
      <w:start w:val="1"/>
      <w:numFmt w:val="lowerRoman"/>
      <w:lvlText w:val="%3."/>
      <w:lvlJc w:val="right"/>
      <w:pPr>
        <w:ind w:left="2880" w:hanging="180"/>
      </w:pPr>
    </w:lvl>
    <w:lvl w:ilvl="3" w:tplc="E92E3F70">
      <w:start w:val="1"/>
      <w:numFmt w:val="decimal"/>
      <w:lvlText w:val="%4."/>
      <w:lvlJc w:val="left"/>
      <w:pPr>
        <w:ind w:left="3600" w:hanging="360"/>
      </w:pPr>
    </w:lvl>
    <w:lvl w:ilvl="4" w:tplc="1FB0EB22">
      <w:start w:val="1"/>
      <w:numFmt w:val="lowerLetter"/>
      <w:lvlText w:val="%5."/>
      <w:lvlJc w:val="left"/>
      <w:pPr>
        <w:ind w:left="4320" w:hanging="360"/>
      </w:pPr>
    </w:lvl>
    <w:lvl w:ilvl="5" w:tplc="05481300">
      <w:start w:val="1"/>
      <w:numFmt w:val="lowerRoman"/>
      <w:lvlText w:val="%6."/>
      <w:lvlJc w:val="right"/>
      <w:pPr>
        <w:ind w:left="5040" w:hanging="180"/>
      </w:pPr>
    </w:lvl>
    <w:lvl w:ilvl="6" w:tplc="2FE48278">
      <w:start w:val="1"/>
      <w:numFmt w:val="decimal"/>
      <w:lvlText w:val="%7."/>
      <w:lvlJc w:val="left"/>
      <w:pPr>
        <w:ind w:left="5760" w:hanging="360"/>
      </w:pPr>
    </w:lvl>
    <w:lvl w:ilvl="7" w:tplc="CA304A14">
      <w:start w:val="1"/>
      <w:numFmt w:val="lowerLetter"/>
      <w:lvlText w:val="%8."/>
      <w:lvlJc w:val="left"/>
      <w:pPr>
        <w:ind w:left="6480" w:hanging="360"/>
      </w:pPr>
    </w:lvl>
    <w:lvl w:ilvl="8" w:tplc="3D5C7B8A">
      <w:start w:val="1"/>
      <w:numFmt w:val="lowerRoman"/>
      <w:lvlText w:val="%9."/>
      <w:lvlJc w:val="right"/>
      <w:pPr>
        <w:ind w:left="7200" w:hanging="180"/>
      </w:pPr>
    </w:lvl>
  </w:abstractNum>
  <w:abstractNum w:abstractNumId="5" w15:restartNumberingAfterBreak="0">
    <w:nsid w:val="08D15BE1"/>
    <w:multiLevelType w:val="hybridMultilevel"/>
    <w:tmpl w:val="E054921E"/>
    <w:lvl w:ilvl="0" w:tplc="08090017">
      <w:start w:val="1"/>
      <w:numFmt w:val="lowerLetter"/>
      <w:lvlText w:val="%1)"/>
      <w:lvlJc w:val="left"/>
      <w:pPr>
        <w:ind w:left="744" w:hanging="360"/>
      </w:pPr>
      <w:rPr>
        <w:rFonts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6" w15:restartNumberingAfterBreak="0">
    <w:nsid w:val="0A813975"/>
    <w:multiLevelType w:val="hybridMultilevel"/>
    <w:tmpl w:val="391694D8"/>
    <w:lvl w:ilvl="0" w:tplc="FF1430F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125D2A"/>
    <w:multiLevelType w:val="hybridMultilevel"/>
    <w:tmpl w:val="AF68DE84"/>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406DC7E">
      <w:start w:val="71"/>
      <w:numFmt w:val="decimal"/>
      <w:lvlText w:val="%3"/>
      <w:lvlJc w:val="left"/>
      <w:pPr>
        <w:ind w:left="2520" w:hanging="360"/>
      </w:pPr>
      <w:rPr>
        <w:rFonts w:eastAsia="Calibri"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B40371C"/>
    <w:multiLevelType w:val="hybridMultilevel"/>
    <w:tmpl w:val="D83AD774"/>
    <w:lvl w:ilvl="0" w:tplc="846A5C38">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557113"/>
    <w:multiLevelType w:val="hybridMultilevel"/>
    <w:tmpl w:val="72EAFC98"/>
    <w:lvl w:ilvl="0" w:tplc="D91220C8">
      <w:start w:val="1"/>
      <w:numFmt w:val="bullet"/>
      <w:lvlText w:val=""/>
      <w:lvlJc w:val="left"/>
      <w:pPr>
        <w:ind w:left="1080" w:hanging="360"/>
      </w:pPr>
      <w:rPr>
        <w:rFonts w:ascii="Symbol" w:hAnsi="Symbol" w:hint="default"/>
      </w:rPr>
    </w:lvl>
    <w:lvl w:ilvl="1" w:tplc="E85A79E4" w:tentative="1">
      <w:start w:val="1"/>
      <w:numFmt w:val="bullet"/>
      <w:lvlText w:val="o"/>
      <w:lvlJc w:val="left"/>
      <w:pPr>
        <w:ind w:left="1800" w:hanging="360"/>
      </w:pPr>
      <w:rPr>
        <w:rFonts w:ascii="Courier New" w:hAnsi="Courier New" w:hint="default"/>
      </w:rPr>
    </w:lvl>
    <w:lvl w:ilvl="2" w:tplc="C0CCEF32" w:tentative="1">
      <w:start w:val="1"/>
      <w:numFmt w:val="bullet"/>
      <w:lvlText w:val=""/>
      <w:lvlJc w:val="left"/>
      <w:pPr>
        <w:ind w:left="2520" w:hanging="360"/>
      </w:pPr>
      <w:rPr>
        <w:rFonts w:ascii="Wingdings" w:hAnsi="Wingdings" w:hint="default"/>
      </w:rPr>
    </w:lvl>
    <w:lvl w:ilvl="3" w:tplc="19809698" w:tentative="1">
      <w:start w:val="1"/>
      <w:numFmt w:val="bullet"/>
      <w:lvlText w:val=""/>
      <w:lvlJc w:val="left"/>
      <w:pPr>
        <w:ind w:left="3240" w:hanging="360"/>
      </w:pPr>
      <w:rPr>
        <w:rFonts w:ascii="Symbol" w:hAnsi="Symbol" w:hint="default"/>
      </w:rPr>
    </w:lvl>
    <w:lvl w:ilvl="4" w:tplc="CA606796" w:tentative="1">
      <w:start w:val="1"/>
      <w:numFmt w:val="bullet"/>
      <w:lvlText w:val="o"/>
      <w:lvlJc w:val="left"/>
      <w:pPr>
        <w:ind w:left="3960" w:hanging="360"/>
      </w:pPr>
      <w:rPr>
        <w:rFonts w:ascii="Courier New" w:hAnsi="Courier New" w:hint="default"/>
      </w:rPr>
    </w:lvl>
    <w:lvl w:ilvl="5" w:tplc="777EB36C" w:tentative="1">
      <w:start w:val="1"/>
      <w:numFmt w:val="bullet"/>
      <w:lvlText w:val=""/>
      <w:lvlJc w:val="left"/>
      <w:pPr>
        <w:ind w:left="4680" w:hanging="360"/>
      </w:pPr>
      <w:rPr>
        <w:rFonts w:ascii="Wingdings" w:hAnsi="Wingdings" w:hint="default"/>
      </w:rPr>
    </w:lvl>
    <w:lvl w:ilvl="6" w:tplc="ED72B98A" w:tentative="1">
      <w:start w:val="1"/>
      <w:numFmt w:val="bullet"/>
      <w:lvlText w:val=""/>
      <w:lvlJc w:val="left"/>
      <w:pPr>
        <w:ind w:left="5400" w:hanging="360"/>
      </w:pPr>
      <w:rPr>
        <w:rFonts w:ascii="Symbol" w:hAnsi="Symbol" w:hint="default"/>
      </w:rPr>
    </w:lvl>
    <w:lvl w:ilvl="7" w:tplc="54CEFA0E" w:tentative="1">
      <w:start w:val="1"/>
      <w:numFmt w:val="bullet"/>
      <w:lvlText w:val="o"/>
      <w:lvlJc w:val="left"/>
      <w:pPr>
        <w:ind w:left="6120" w:hanging="360"/>
      </w:pPr>
      <w:rPr>
        <w:rFonts w:ascii="Courier New" w:hAnsi="Courier New" w:hint="default"/>
      </w:rPr>
    </w:lvl>
    <w:lvl w:ilvl="8" w:tplc="7E4EE972" w:tentative="1">
      <w:start w:val="1"/>
      <w:numFmt w:val="bullet"/>
      <w:lvlText w:val=""/>
      <w:lvlJc w:val="left"/>
      <w:pPr>
        <w:ind w:left="6840" w:hanging="360"/>
      </w:pPr>
      <w:rPr>
        <w:rFonts w:ascii="Wingdings" w:hAnsi="Wingdings" w:hint="default"/>
      </w:rPr>
    </w:lvl>
  </w:abstractNum>
  <w:abstractNum w:abstractNumId="10" w15:restartNumberingAfterBreak="0">
    <w:nsid w:val="0D3E22B3"/>
    <w:multiLevelType w:val="hybridMultilevel"/>
    <w:tmpl w:val="E5A80442"/>
    <w:lvl w:ilvl="0" w:tplc="BED0B16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10A37DEE"/>
    <w:multiLevelType w:val="hybridMultilevel"/>
    <w:tmpl w:val="27E4D872"/>
    <w:lvl w:ilvl="0" w:tplc="21BCA9D2">
      <w:start w:val="1"/>
      <w:numFmt w:val="lowerLetter"/>
      <w:lvlText w:val="%1)"/>
      <w:lvlJc w:val="left"/>
      <w:pPr>
        <w:tabs>
          <w:tab w:val="num" w:pos="1080"/>
        </w:tabs>
        <w:ind w:left="1080" w:hanging="360"/>
      </w:pPr>
      <w:rPr>
        <w:rFonts w:hint="default"/>
        <w:color w:val="000000" w:themeColor="text1"/>
      </w:rPr>
    </w:lvl>
    <w:lvl w:ilvl="1" w:tplc="08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13C4DF0"/>
    <w:multiLevelType w:val="hybridMultilevel"/>
    <w:tmpl w:val="088AD598"/>
    <w:lvl w:ilvl="0" w:tplc="08090001">
      <w:start w:val="1"/>
      <w:numFmt w:val="bullet"/>
      <w:lvlText w:val=""/>
      <w:lvlJc w:val="left"/>
      <w:pPr>
        <w:ind w:left="2324" w:hanging="360"/>
      </w:pPr>
      <w:rPr>
        <w:rFonts w:ascii="Symbol" w:hAnsi="Symbol" w:hint="default"/>
      </w:rPr>
    </w:lvl>
    <w:lvl w:ilvl="1" w:tplc="08090003">
      <w:start w:val="1"/>
      <w:numFmt w:val="bullet"/>
      <w:lvlText w:val="o"/>
      <w:lvlJc w:val="left"/>
      <w:pPr>
        <w:ind w:left="3044" w:hanging="360"/>
      </w:pPr>
      <w:rPr>
        <w:rFonts w:ascii="Courier New" w:hAnsi="Courier New" w:cs="Courier New" w:hint="default"/>
      </w:rPr>
    </w:lvl>
    <w:lvl w:ilvl="2" w:tplc="08090005" w:tentative="1">
      <w:start w:val="1"/>
      <w:numFmt w:val="bullet"/>
      <w:lvlText w:val=""/>
      <w:lvlJc w:val="left"/>
      <w:pPr>
        <w:ind w:left="3764" w:hanging="360"/>
      </w:pPr>
      <w:rPr>
        <w:rFonts w:ascii="Wingdings" w:hAnsi="Wingdings" w:hint="default"/>
      </w:rPr>
    </w:lvl>
    <w:lvl w:ilvl="3" w:tplc="08090001" w:tentative="1">
      <w:start w:val="1"/>
      <w:numFmt w:val="bullet"/>
      <w:lvlText w:val=""/>
      <w:lvlJc w:val="left"/>
      <w:pPr>
        <w:ind w:left="4484" w:hanging="360"/>
      </w:pPr>
      <w:rPr>
        <w:rFonts w:ascii="Symbol" w:hAnsi="Symbol" w:hint="default"/>
      </w:rPr>
    </w:lvl>
    <w:lvl w:ilvl="4" w:tplc="08090003" w:tentative="1">
      <w:start w:val="1"/>
      <w:numFmt w:val="bullet"/>
      <w:lvlText w:val="o"/>
      <w:lvlJc w:val="left"/>
      <w:pPr>
        <w:ind w:left="5204" w:hanging="360"/>
      </w:pPr>
      <w:rPr>
        <w:rFonts w:ascii="Courier New" w:hAnsi="Courier New" w:cs="Courier New" w:hint="default"/>
      </w:rPr>
    </w:lvl>
    <w:lvl w:ilvl="5" w:tplc="08090005" w:tentative="1">
      <w:start w:val="1"/>
      <w:numFmt w:val="bullet"/>
      <w:lvlText w:val=""/>
      <w:lvlJc w:val="left"/>
      <w:pPr>
        <w:ind w:left="5924" w:hanging="360"/>
      </w:pPr>
      <w:rPr>
        <w:rFonts w:ascii="Wingdings" w:hAnsi="Wingdings" w:hint="default"/>
      </w:rPr>
    </w:lvl>
    <w:lvl w:ilvl="6" w:tplc="08090001" w:tentative="1">
      <w:start w:val="1"/>
      <w:numFmt w:val="bullet"/>
      <w:lvlText w:val=""/>
      <w:lvlJc w:val="left"/>
      <w:pPr>
        <w:ind w:left="6644" w:hanging="360"/>
      </w:pPr>
      <w:rPr>
        <w:rFonts w:ascii="Symbol" w:hAnsi="Symbol" w:hint="default"/>
      </w:rPr>
    </w:lvl>
    <w:lvl w:ilvl="7" w:tplc="08090003" w:tentative="1">
      <w:start w:val="1"/>
      <w:numFmt w:val="bullet"/>
      <w:lvlText w:val="o"/>
      <w:lvlJc w:val="left"/>
      <w:pPr>
        <w:ind w:left="7364" w:hanging="360"/>
      </w:pPr>
      <w:rPr>
        <w:rFonts w:ascii="Courier New" w:hAnsi="Courier New" w:cs="Courier New" w:hint="default"/>
      </w:rPr>
    </w:lvl>
    <w:lvl w:ilvl="8" w:tplc="08090005" w:tentative="1">
      <w:start w:val="1"/>
      <w:numFmt w:val="bullet"/>
      <w:lvlText w:val=""/>
      <w:lvlJc w:val="left"/>
      <w:pPr>
        <w:ind w:left="8084" w:hanging="360"/>
      </w:pPr>
      <w:rPr>
        <w:rFonts w:ascii="Wingdings" w:hAnsi="Wingdings" w:hint="default"/>
      </w:rPr>
    </w:lvl>
  </w:abstractNum>
  <w:abstractNum w:abstractNumId="13" w15:restartNumberingAfterBreak="0">
    <w:nsid w:val="114527F1"/>
    <w:multiLevelType w:val="hybridMultilevel"/>
    <w:tmpl w:val="A04C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565925"/>
    <w:multiLevelType w:val="multilevel"/>
    <w:tmpl w:val="E60884E2"/>
    <w:lvl w:ilvl="0">
      <w:start w:val="1"/>
      <w:numFmt w:val="decimal"/>
      <w:lvlText w:val="%1."/>
      <w:lvlJc w:val="left"/>
      <w:pPr>
        <w:tabs>
          <w:tab w:val="num" w:pos="576"/>
        </w:tabs>
        <w:ind w:left="576" w:hanging="576"/>
      </w:pPr>
      <w:rPr>
        <w:rFonts w:hint="default"/>
      </w:rPr>
    </w:lvl>
    <w:lvl w:ilvl="1">
      <w:start w:val="1"/>
      <w:numFmt w:val="decimal"/>
      <w:pStyle w:val="ReportPara"/>
      <w:lvlText w:val="%1.%2."/>
      <w:lvlJc w:val="left"/>
      <w:pPr>
        <w:tabs>
          <w:tab w:val="num" w:pos="1702"/>
        </w:tabs>
        <w:ind w:left="1702" w:hanging="1134"/>
      </w:pPr>
      <w:rPr>
        <w:rFonts w:ascii="Gill Sans MT" w:hAnsi="Gill Sans MT" w:hint="default"/>
        <w:b w:val="0"/>
        <w:i w:val="0"/>
        <w:sz w:val="24"/>
        <w:szCs w:val="24"/>
      </w:rPr>
    </w:lvl>
    <w:lvl w:ilvl="2">
      <w:start w:val="1"/>
      <w:numFmt w:val="decimal"/>
      <w:lvlText w:val="%1.%2.%3."/>
      <w:lvlJc w:val="left"/>
      <w:pPr>
        <w:tabs>
          <w:tab w:val="num" w:pos="1134"/>
        </w:tabs>
        <w:ind w:left="1134" w:hanging="1134"/>
      </w:pPr>
      <w:rPr>
        <w:rFonts w:hint="default"/>
      </w:rPr>
    </w:lvl>
    <w:lvl w:ilvl="3">
      <w:start w:val="1"/>
      <w:numFmt w:val="lowerRoman"/>
      <w:lvlText w:val="%4."/>
      <w:lvlJc w:val="left"/>
      <w:pPr>
        <w:tabs>
          <w:tab w:val="num" w:pos="1728"/>
        </w:tabs>
        <w:ind w:left="1728" w:hanging="5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10D1C98"/>
    <w:multiLevelType w:val="hybridMultilevel"/>
    <w:tmpl w:val="6054E40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6" w15:restartNumberingAfterBreak="0">
    <w:nsid w:val="23621B09"/>
    <w:multiLevelType w:val="hybridMultilevel"/>
    <w:tmpl w:val="B002E8F0"/>
    <w:lvl w:ilvl="0" w:tplc="2DEE56FC">
      <w:start w:val="40"/>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F7451D"/>
    <w:multiLevelType w:val="multilevel"/>
    <w:tmpl w:val="6CFC7350"/>
    <w:lvl w:ilvl="0">
      <w:start w:val="1"/>
      <w:numFmt w:val="decimal"/>
      <w:pStyle w:val="11"/>
      <w:lvlText w:val="1.%1"/>
      <w:lvlJc w:val="left"/>
      <w:pPr>
        <w:tabs>
          <w:tab w:val="num" w:pos="720"/>
        </w:tabs>
        <w:ind w:left="720" w:hanging="720"/>
      </w:pPr>
      <w:rPr>
        <w:rFonts w:asciiTheme="minorHAnsi" w:hAnsiTheme="minorHAnsi" w:hint="default"/>
        <w:sz w:val="22"/>
        <w:szCs w:val="22"/>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257CF90"/>
    <w:multiLevelType w:val="hybridMultilevel"/>
    <w:tmpl w:val="71C40B14"/>
    <w:lvl w:ilvl="0" w:tplc="44E0C1EA">
      <w:start w:val="1"/>
      <w:numFmt w:val="bullet"/>
      <w:lvlText w:val=""/>
      <w:lvlJc w:val="left"/>
      <w:pPr>
        <w:ind w:left="3141" w:hanging="360"/>
      </w:pPr>
      <w:rPr>
        <w:rFonts w:ascii="Symbol" w:hAnsi="Symbol" w:hint="default"/>
      </w:rPr>
    </w:lvl>
    <w:lvl w:ilvl="1" w:tplc="E0C8DA48">
      <w:start w:val="1"/>
      <w:numFmt w:val="bullet"/>
      <w:lvlText w:val="o"/>
      <w:lvlJc w:val="left"/>
      <w:pPr>
        <w:ind w:left="3861" w:hanging="360"/>
      </w:pPr>
      <w:rPr>
        <w:rFonts w:ascii="Courier New" w:hAnsi="Courier New" w:hint="default"/>
      </w:rPr>
    </w:lvl>
    <w:lvl w:ilvl="2" w:tplc="73E49664">
      <w:start w:val="1"/>
      <w:numFmt w:val="bullet"/>
      <w:lvlText w:val=""/>
      <w:lvlJc w:val="left"/>
      <w:pPr>
        <w:ind w:left="4581" w:hanging="360"/>
      </w:pPr>
      <w:rPr>
        <w:rFonts w:ascii="Wingdings" w:hAnsi="Wingdings" w:hint="default"/>
      </w:rPr>
    </w:lvl>
    <w:lvl w:ilvl="3" w:tplc="00563D36">
      <w:start w:val="1"/>
      <w:numFmt w:val="bullet"/>
      <w:lvlText w:val=""/>
      <w:lvlJc w:val="left"/>
      <w:pPr>
        <w:ind w:left="5301" w:hanging="360"/>
      </w:pPr>
      <w:rPr>
        <w:rFonts w:ascii="Symbol" w:hAnsi="Symbol" w:hint="default"/>
      </w:rPr>
    </w:lvl>
    <w:lvl w:ilvl="4" w:tplc="994ECB3C">
      <w:start w:val="1"/>
      <w:numFmt w:val="bullet"/>
      <w:lvlText w:val="o"/>
      <w:lvlJc w:val="left"/>
      <w:pPr>
        <w:ind w:left="6021" w:hanging="360"/>
      </w:pPr>
      <w:rPr>
        <w:rFonts w:ascii="Courier New" w:hAnsi="Courier New" w:hint="default"/>
      </w:rPr>
    </w:lvl>
    <w:lvl w:ilvl="5" w:tplc="7A801634">
      <w:start w:val="1"/>
      <w:numFmt w:val="bullet"/>
      <w:lvlText w:val=""/>
      <w:lvlJc w:val="left"/>
      <w:pPr>
        <w:ind w:left="6741" w:hanging="360"/>
      </w:pPr>
      <w:rPr>
        <w:rFonts w:ascii="Wingdings" w:hAnsi="Wingdings" w:hint="default"/>
      </w:rPr>
    </w:lvl>
    <w:lvl w:ilvl="6" w:tplc="4AAC10E4">
      <w:start w:val="1"/>
      <w:numFmt w:val="bullet"/>
      <w:lvlText w:val=""/>
      <w:lvlJc w:val="left"/>
      <w:pPr>
        <w:ind w:left="7461" w:hanging="360"/>
      </w:pPr>
      <w:rPr>
        <w:rFonts w:ascii="Symbol" w:hAnsi="Symbol" w:hint="default"/>
      </w:rPr>
    </w:lvl>
    <w:lvl w:ilvl="7" w:tplc="3BA2471A">
      <w:start w:val="1"/>
      <w:numFmt w:val="bullet"/>
      <w:lvlText w:val="o"/>
      <w:lvlJc w:val="left"/>
      <w:pPr>
        <w:ind w:left="8181" w:hanging="360"/>
      </w:pPr>
      <w:rPr>
        <w:rFonts w:ascii="Courier New" w:hAnsi="Courier New" w:hint="default"/>
      </w:rPr>
    </w:lvl>
    <w:lvl w:ilvl="8" w:tplc="38EC2AEE">
      <w:start w:val="1"/>
      <w:numFmt w:val="bullet"/>
      <w:lvlText w:val=""/>
      <w:lvlJc w:val="left"/>
      <w:pPr>
        <w:ind w:left="8901" w:hanging="360"/>
      </w:pPr>
      <w:rPr>
        <w:rFonts w:ascii="Wingdings" w:hAnsi="Wingdings" w:hint="default"/>
      </w:rPr>
    </w:lvl>
  </w:abstractNum>
  <w:abstractNum w:abstractNumId="19" w15:restartNumberingAfterBreak="0">
    <w:nsid w:val="345B1591"/>
    <w:multiLevelType w:val="hybridMultilevel"/>
    <w:tmpl w:val="BB58B0D2"/>
    <w:lvl w:ilvl="0" w:tplc="45B2296E">
      <w:start w:val="1"/>
      <w:numFmt w:val="bullet"/>
      <w:lvlText w:val=""/>
      <w:lvlJc w:val="left"/>
      <w:pPr>
        <w:ind w:left="1440" w:hanging="360"/>
      </w:pPr>
      <w:rPr>
        <w:rFonts w:ascii="Symbol" w:hAnsi="Symbol" w:hint="default"/>
      </w:rPr>
    </w:lvl>
    <w:lvl w:ilvl="1" w:tplc="AABEE8AA">
      <w:start w:val="1"/>
      <w:numFmt w:val="bullet"/>
      <w:lvlText w:val="o"/>
      <w:lvlJc w:val="left"/>
      <w:pPr>
        <w:ind w:left="2160" w:hanging="360"/>
      </w:pPr>
      <w:rPr>
        <w:rFonts w:ascii="Courier New" w:hAnsi="Courier New" w:hint="default"/>
      </w:rPr>
    </w:lvl>
    <w:lvl w:ilvl="2" w:tplc="45D8C492">
      <w:start w:val="1"/>
      <w:numFmt w:val="bullet"/>
      <w:lvlText w:val=""/>
      <w:lvlJc w:val="left"/>
      <w:pPr>
        <w:ind w:left="2880" w:hanging="360"/>
      </w:pPr>
      <w:rPr>
        <w:rFonts w:ascii="Wingdings" w:hAnsi="Wingdings" w:hint="default"/>
      </w:rPr>
    </w:lvl>
    <w:lvl w:ilvl="3" w:tplc="CA280A2C">
      <w:start w:val="1"/>
      <w:numFmt w:val="bullet"/>
      <w:lvlText w:val=""/>
      <w:lvlJc w:val="left"/>
      <w:pPr>
        <w:ind w:left="3600" w:hanging="360"/>
      </w:pPr>
      <w:rPr>
        <w:rFonts w:ascii="Symbol" w:hAnsi="Symbol" w:hint="default"/>
      </w:rPr>
    </w:lvl>
    <w:lvl w:ilvl="4" w:tplc="B5A64E90">
      <w:start w:val="1"/>
      <w:numFmt w:val="bullet"/>
      <w:lvlText w:val="o"/>
      <w:lvlJc w:val="left"/>
      <w:pPr>
        <w:ind w:left="4320" w:hanging="360"/>
      </w:pPr>
      <w:rPr>
        <w:rFonts w:ascii="Courier New" w:hAnsi="Courier New" w:hint="default"/>
      </w:rPr>
    </w:lvl>
    <w:lvl w:ilvl="5" w:tplc="4A3A05E8">
      <w:start w:val="1"/>
      <w:numFmt w:val="bullet"/>
      <w:lvlText w:val=""/>
      <w:lvlJc w:val="left"/>
      <w:pPr>
        <w:ind w:left="5040" w:hanging="360"/>
      </w:pPr>
      <w:rPr>
        <w:rFonts w:ascii="Wingdings" w:hAnsi="Wingdings" w:hint="default"/>
      </w:rPr>
    </w:lvl>
    <w:lvl w:ilvl="6" w:tplc="E5D022F0">
      <w:start w:val="1"/>
      <w:numFmt w:val="bullet"/>
      <w:lvlText w:val=""/>
      <w:lvlJc w:val="left"/>
      <w:pPr>
        <w:ind w:left="5760" w:hanging="360"/>
      </w:pPr>
      <w:rPr>
        <w:rFonts w:ascii="Symbol" w:hAnsi="Symbol" w:hint="default"/>
      </w:rPr>
    </w:lvl>
    <w:lvl w:ilvl="7" w:tplc="BD002ECE">
      <w:start w:val="1"/>
      <w:numFmt w:val="bullet"/>
      <w:lvlText w:val="o"/>
      <w:lvlJc w:val="left"/>
      <w:pPr>
        <w:ind w:left="6480" w:hanging="360"/>
      </w:pPr>
      <w:rPr>
        <w:rFonts w:ascii="Courier New" w:hAnsi="Courier New" w:hint="default"/>
      </w:rPr>
    </w:lvl>
    <w:lvl w:ilvl="8" w:tplc="E5F0E68C">
      <w:start w:val="1"/>
      <w:numFmt w:val="bullet"/>
      <w:lvlText w:val=""/>
      <w:lvlJc w:val="left"/>
      <w:pPr>
        <w:ind w:left="7200" w:hanging="360"/>
      </w:pPr>
      <w:rPr>
        <w:rFonts w:ascii="Wingdings" w:hAnsi="Wingdings" w:hint="default"/>
      </w:rPr>
    </w:lvl>
  </w:abstractNum>
  <w:abstractNum w:abstractNumId="20" w15:restartNumberingAfterBreak="0">
    <w:nsid w:val="36F4CD59"/>
    <w:multiLevelType w:val="hybridMultilevel"/>
    <w:tmpl w:val="FD2ADE9E"/>
    <w:lvl w:ilvl="0" w:tplc="00D435F8">
      <w:start w:val="1"/>
      <w:numFmt w:val="bullet"/>
      <w:lvlText w:val=""/>
      <w:lvlJc w:val="left"/>
      <w:pPr>
        <w:ind w:left="1080" w:hanging="360"/>
      </w:pPr>
      <w:rPr>
        <w:rFonts w:ascii="Symbol" w:hAnsi="Symbol" w:hint="default"/>
      </w:rPr>
    </w:lvl>
    <w:lvl w:ilvl="1" w:tplc="E90E468C">
      <w:start w:val="1"/>
      <w:numFmt w:val="bullet"/>
      <w:lvlText w:val="o"/>
      <w:lvlJc w:val="left"/>
      <w:pPr>
        <w:ind w:left="1800" w:hanging="360"/>
      </w:pPr>
      <w:rPr>
        <w:rFonts w:ascii="Courier New" w:hAnsi="Courier New" w:hint="default"/>
      </w:rPr>
    </w:lvl>
    <w:lvl w:ilvl="2" w:tplc="D696B9E8">
      <w:start w:val="1"/>
      <w:numFmt w:val="bullet"/>
      <w:lvlText w:val=""/>
      <w:lvlJc w:val="left"/>
      <w:pPr>
        <w:ind w:left="2520" w:hanging="360"/>
      </w:pPr>
      <w:rPr>
        <w:rFonts w:ascii="Wingdings" w:hAnsi="Wingdings" w:hint="default"/>
      </w:rPr>
    </w:lvl>
    <w:lvl w:ilvl="3" w:tplc="A8BEE9FA">
      <w:start w:val="1"/>
      <w:numFmt w:val="bullet"/>
      <w:lvlText w:val=""/>
      <w:lvlJc w:val="left"/>
      <w:pPr>
        <w:ind w:left="3240" w:hanging="360"/>
      </w:pPr>
      <w:rPr>
        <w:rFonts w:ascii="Symbol" w:hAnsi="Symbol" w:hint="default"/>
      </w:rPr>
    </w:lvl>
    <w:lvl w:ilvl="4" w:tplc="BA12BF06">
      <w:start w:val="1"/>
      <w:numFmt w:val="bullet"/>
      <w:lvlText w:val="o"/>
      <w:lvlJc w:val="left"/>
      <w:pPr>
        <w:ind w:left="3960" w:hanging="360"/>
      </w:pPr>
      <w:rPr>
        <w:rFonts w:ascii="Courier New" w:hAnsi="Courier New" w:hint="default"/>
      </w:rPr>
    </w:lvl>
    <w:lvl w:ilvl="5" w:tplc="D23A7324">
      <w:start w:val="1"/>
      <w:numFmt w:val="bullet"/>
      <w:lvlText w:val=""/>
      <w:lvlJc w:val="left"/>
      <w:pPr>
        <w:ind w:left="4680" w:hanging="360"/>
      </w:pPr>
      <w:rPr>
        <w:rFonts w:ascii="Wingdings" w:hAnsi="Wingdings" w:hint="default"/>
      </w:rPr>
    </w:lvl>
    <w:lvl w:ilvl="6" w:tplc="9118B596">
      <w:start w:val="1"/>
      <w:numFmt w:val="bullet"/>
      <w:lvlText w:val=""/>
      <w:lvlJc w:val="left"/>
      <w:pPr>
        <w:ind w:left="5400" w:hanging="360"/>
      </w:pPr>
      <w:rPr>
        <w:rFonts w:ascii="Symbol" w:hAnsi="Symbol" w:hint="default"/>
      </w:rPr>
    </w:lvl>
    <w:lvl w:ilvl="7" w:tplc="B1C201C0">
      <w:start w:val="1"/>
      <w:numFmt w:val="bullet"/>
      <w:lvlText w:val="o"/>
      <w:lvlJc w:val="left"/>
      <w:pPr>
        <w:ind w:left="6120" w:hanging="360"/>
      </w:pPr>
      <w:rPr>
        <w:rFonts w:ascii="Courier New" w:hAnsi="Courier New" w:hint="default"/>
      </w:rPr>
    </w:lvl>
    <w:lvl w:ilvl="8" w:tplc="7BC0E04A">
      <w:start w:val="1"/>
      <w:numFmt w:val="bullet"/>
      <w:lvlText w:val=""/>
      <w:lvlJc w:val="left"/>
      <w:pPr>
        <w:ind w:left="6840" w:hanging="360"/>
      </w:pPr>
      <w:rPr>
        <w:rFonts w:ascii="Wingdings" w:hAnsi="Wingdings" w:hint="default"/>
      </w:rPr>
    </w:lvl>
  </w:abstractNum>
  <w:abstractNum w:abstractNumId="21" w15:restartNumberingAfterBreak="0">
    <w:nsid w:val="39BF147C"/>
    <w:multiLevelType w:val="hybridMultilevel"/>
    <w:tmpl w:val="25FEDE58"/>
    <w:lvl w:ilvl="0" w:tplc="9D16CA8C">
      <w:start w:val="4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2A3E06"/>
    <w:multiLevelType w:val="hybridMultilevel"/>
    <w:tmpl w:val="99283422"/>
    <w:lvl w:ilvl="0" w:tplc="5FCECD98">
      <w:start w:val="1"/>
      <w:numFmt w:val="lowerLetter"/>
      <w:lvlText w:val="%1)"/>
      <w:lvlJc w:val="left"/>
      <w:pPr>
        <w:ind w:left="861" w:hanging="360"/>
      </w:pPr>
    </w:lvl>
    <w:lvl w:ilvl="1" w:tplc="C3425A46">
      <w:start w:val="1"/>
      <w:numFmt w:val="lowerLetter"/>
      <w:lvlText w:val="%2."/>
      <w:lvlJc w:val="left"/>
      <w:pPr>
        <w:ind w:left="1581" w:hanging="360"/>
      </w:pPr>
    </w:lvl>
    <w:lvl w:ilvl="2" w:tplc="83CC9B0C">
      <w:start w:val="1"/>
      <w:numFmt w:val="lowerRoman"/>
      <w:lvlText w:val="%3."/>
      <w:lvlJc w:val="right"/>
      <w:pPr>
        <w:ind w:left="2301" w:hanging="180"/>
      </w:pPr>
    </w:lvl>
    <w:lvl w:ilvl="3" w:tplc="B2306AD0">
      <w:start w:val="1"/>
      <w:numFmt w:val="decimal"/>
      <w:lvlText w:val="%4."/>
      <w:lvlJc w:val="left"/>
      <w:pPr>
        <w:ind w:left="3021" w:hanging="360"/>
      </w:pPr>
    </w:lvl>
    <w:lvl w:ilvl="4" w:tplc="47E68E7C">
      <w:start w:val="1"/>
      <w:numFmt w:val="lowerLetter"/>
      <w:lvlText w:val="%5."/>
      <w:lvlJc w:val="left"/>
      <w:pPr>
        <w:ind w:left="3741" w:hanging="360"/>
      </w:pPr>
    </w:lvl>
    <w:lvl w:ilvl="5" w:tplc="8F52ADD2">
      <w:start w:val="1"/>
      <w:numFmt w:val="lowerRoman"/>
      <w:lvlText w:val="%6."/>
      <w:lvlJc w:val="right"/>
      <w:pPr>
        <w:ind w:left="4461" w:hanging="180"/>
      </w:pPr>
    </w:lvl>
    <w:lvl w:ilvl="6" w:tplc="F328E590">
      <w:start w:val="1"/>
      <w:numFmt w:val="decimal"/>
      <w:lvlText w:val="%7."/>
      <w:lvlJc w:val="left"/>
      <w:pPr>
        <w:ind w:left="5181" w:hanging="360"/>
      </w:pPr>
    </w:lvl>
    <w:lvl w:ilvl="7" w:tplc="6304F772">
      <w:start w:val="1"/>
      <w:numFmt w:val="lowerLetter"/>
      <w:lvlText w:val="%8."/>
      <w:lvlJc w:val="left"/>
      <w:pPr>
        <w:ind w:left="5901" w:hanging="360"/>
      </w:pPr>
    </w:lvl>
    <w:lvl w:ilvl="8" w:tplc="5A167D4A">
      <w:start w:val="1"/>
      <w:numFmt w:val="lowerRoman"/>
      <w:lvlText w:val="%9."/>
      <w:lvlJc w:val="right"/>
      <w:pPr>
        <w:ind w:left="6621" w:hanging="180"/>
      </w:pPr>
    </w:lvl>
  </w:abstractNum>
  <w:abstractNum w:abstractNumId="23" w15:restartNumberingAfterBreak="0">
    <w:nsid w:val="3EB0E6F7"/>
    <w:multiLevelType w:val="hybridMultilevel"/>
    <w:tmpl w:val="78D2B2BE"/>
    <w:lvl w:ilvl="0" w:tplc="9470020A">
      <w:start w:val="1"/>
      <w:numFmt w:val="bullet"/>
      <w:lvlText w:val=""/>
      <w:lvlJc w:val="left"/>
      <w:pPr>
        <w:ind w:left="1080" w:hanging="360"/>
      </w:pPr>
      <w:rPr>
        <w:rFonts w:ascii="Symbol" w:hAnsi="Symbol" w:hint="default"/>
      </w:rPr>
    </w:lvl>
    <w:lvl w:ilvl="1" w:tplc="B75851C0">
      <w:start w:val="1"/>
      <w:numFmt w:val="bullet"/>
      <w:lvlText w:val="o"/>
      <w:lvlJc w:val="left"/>
      <w:pPr>
        <w:ind w:left="1800" w:hanging="360"/>
      </w:pPr>
      <w:rPr>
        <w:rFonts w:ascii="Courier New" w:hAnsi="Courier New" w:hint="default"/>
      </w:rPr>
    </w:lvl>
    <w:lvl w:ilvl="2" w:tplc="AA700F8E">
      <w:start w:val="1"/>
      <w:numFmt w:val="bullet"/>
      <w:lvlText w:val=""/>
      <w:lvlJc w:val="left"/>
      <w:pPr>
        <w:ind w:left="2520" w:hanging="360"/>
      </w:pPr>
      <w:rPr>
        <w:rFonts w:ascii="Wingdings" w:hAnsi="Wingdings" w:hint="default"/>
      </w:rPr>
    </w:lvl>
    <w:lvl w:ilvl="3" w:tplc="3C46A056">
      <w:start w:val="1"/>
      <w:numFmt w:val="bullet"/>
      <w:lvlText w:val=""/>
      <w:lvlJc w:val="left"/>
      <w:pPr>
        <w:ind w:left="3240" w:hanging="360"/>
      </w:pPr>
      <w:rPr>
        <w:rFonts w:ascii="Symbol" w:hAnsi="Symbol" w:hint="default"/>
      </w:rPr>
    </w:lvl>
    <w:lvl w:ilvl="4" w:tplc="AC0A97A2">
      <w:start w:val="1"/>
      <w:numFmt w:val="bullet"/>
      <w:lvlText w:val="o"/>
      <w:lvlJc w:val="left"/>
      <w:pPr>
        <w:ind w:left="3960" w:hanging="360"/>
      </w:pPr>
      <w:rPr>
        <w:rFonts w:ascii="Courier New" w:hAnsi="Courier New" w:hint="default"/>
      </w:rPr>
    </w:lvl>
    <w:lvl w:ilvl="5" w:tplc="C0262392">
      <w:start w:val="1"/>
      <w:numFmt w:val="bullet"/>
      <w:lvlText w:val=""/>
      <w:lvlJc w:val="left"/>
      <w:pPr>
        <w:ind w:left="4680" w:hanging="360"/>
      </w:pPr>
      <w:rPr>
        <w:rFonts w:ascii="Wingdings" w:hAnsi="Wingdings" w:hint="default"/>
      </w:rPr>
    </w:lvl>
    <w:lvl w:ilvl="6" w:tplc="E97A940A">
      <w:start w:val="1"/>
      <w:numFmt w:val="bullet"/>
      <w:lvlText w:val=""/>
      <w:lvlJc w:val="left"/>
      <w:pPr>
        <w:ind w:left="5400" w:hanging="360"/>
      </w:pPr>
      <w:rPr>
        <w:rFonts w:ascii="Symbol" w:hAnsi="Symbol" w:hint="default"/>
      </w:rPr>
    </w:lvl>
    <w:lvl w:ilvl="7" w:tplc="AF3055B0">
      <w:start w:val="1"/>
      <w:numFmt w:val="bullet"/>
      <w:lvlText w:val="o"/>
      <w:lvlJc w:val="left"/>
      <w:pPr>
        <w:ind w:left="6120" w:hanging="360"/>
      </w:pPr>
      <w:rPr>
        <w:rFonts w:ascii="Courier New" w:hAnsi="Courier New" w:hint="default"/>
      </w:rPr>
    </w:lvl>
    <w:lvl w:ilvl="8" w:tplc="B498BAC0">
      <w:start w:val="1"/>
      <w:numFmt w:val="bullet"/>
      <w:lvlText w:val=""/>
      <w:lvlJc w:val="left"/>
      <w:pPr>
        <w:ind w:left="6840" w:hanging="360"/>
      </w:pPr>
      <w:rPr>
        <w:rFonts w:ascii="Wingdings" w:hAnsi="Wingdings" w:hint="default"/>
      </w:rPr>
    </w:lvl>
  </w:abstractNum>
  <w:abstractNum w:abstractNumId="24" w15:restartNumberingAfterBreak="0">
    <w:nsid w:val="3F683BAC"/>
    <w:multiLevelType w:val="hybridMultilevel"/>
    <w:tmpl w:val="C3BEF5CC"/>
    <w:lvl w:ilvl="0" w:tplc="50B0CE3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01">
      <w:start w:val="1"/>
      <w:numFmt w:val="bullet"/>
      <w:lvlText w:val=""/>
      <w:lvlJc w:val="left"/>
      <w:pPr>
        <w:ind w:left="3240" w:hanging="180"/>
      </w:pPr>
      <w:rPr>
        <w:rFonts w:ascii="Symbol" w:hAnsi="Symbol" w:hint="default"/>
      </w:rPr>
    </w:lvl>
    <w:lvl w:ilvl="3" w:tplc="0A1AD69A">
      <w:start w:val="51"/>
      <w:numFmt w:val="decimal"/>
      <w:lvlText w:val="%4."/>
      <w:lvlJc w:val="left"/>
      <w:pPr>
        <w:ind w:left="3960" w:hanging="360"/>
      </w:pPr>
      <w:rPr>
        <w:rFonts w:hint="default"/>
      </w:rPr>
    </w:lvl>
    <w:lvl w:ilvl="4" w:tplc="221E3284">
      <w:start w:val="51"/>
      <w:numFmt w:val="decimal"/>
      <w:lvlText w:val="%5"/>
      <w:lvlJc w:val="left"/>
      <w:pPr>
        <w:ind w:left="4680" w:hanging="360"/>
      </w:pPr>
      <w:rPr>
        <w:rFonts w:hint="default"/>
      </w:rPr>
    </w:lvl>
    <w:lvl w:ilvl="5" w:tplc="0809001B">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2D94EF3"/>
    <w:multiLevelType w:val="hybridMultilevel"/>
    <w:tmpl w:val="8DD8FBC6"/>
    <w:lvl w:ilvl="0" w:tplc="A24EFB38">
      <w:start w:val="4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B126AB"/>
    <w:multiLevelType w:val="hybridMultilevel"/>
    <w:tmpl w:val="B56C8E7C"/>
    <w:lvl w:ilvl="0" w:tplc="08090017">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1F6AD0"/>
    <w:multiLevelType w:val="hybridMultilevel"/>
    <w:tmpl w:val="E44CDCB0"/>
    <w:lvl w:ilvl="0" w:tplc="7A32517C">
      <w:start w:val="43"/>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49F214B"/>
    <w:multiLevelType w:val="multilevel"/>
    <w:tmpl w:val="B3C8B0F8"/>
    <w:lvl w:ilvl="0">
      <w:start w:val="1"/>
      <w:numFmt w:val="decimal"/>
      <w:lvlText w:val="%1."/>
      <w:lvlJc w:val="left"/>
      <w:pPr>
        <w:ind w:left="360" w:hanging="360"/>
      </w:pPr>
    </w:lvl>
    <w:lvl w:ilvl="1">
      <w:start w:val="1"/>
      <w:numFmt w:val="decimal"/>
      <w:pStyle w:val="abody"/>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9" w15:restartNumberingAfterBreak="0">
    <w:nsid w:val="572B4236"/>
    <w:multiLevelType w:val="hybridMultilevel"/>
    <w:tmpl w:val="AB74EF1C"/>
    <w:lvl w:ilvl="0" w:tplc="DD5A608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7F4172"/>
    <w:multiLevelType w:val="hybridMultilevel"/>
    <w:tmpl w:val="D94E4832"/>
    <w:lvl w:ilvl="0" w:tplc="991AF71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8E3E0E"/>
    <w:multiLevelType w:val="hybridMultilevel"/>
    <w:tmpl w:val="B4908992"/>
    <w:lvl w:ilvl="0" w:tplc="08090017">
      <w:start w:val="1"/>
      <w:numFmt w:val="lowerLetter"/>
      <w:lvlText w:val="%1)"/>
      <w:lvlJc w:val="left"/>
      <w:pPr>
        <w:ind w:left="982" w:hanging="360"/>
      </w:pPr>
      <w:rPr>
        <w:rFonts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32" w15:restartNumberingAfterBreak="0">
    <w:nsid w:val="5B936450"/>
    <w:multiLevelType w:val="hybridMultilevel"/>
    <w:tmpl w:val="D99275EA"/>
    <w:lvl w:ilvl="0" w:tplc="0CA2060A">
      <w:start w:val="1"/>
      <w:numFmt w:val="bullet"/>
      <w:pStyle w:val="Style4"/>
      <w:lvlText w:val=""/>
      <w:lvlJc w:val="left"/>
      <w:pPr>
        <w:ind w:left="1267" w:hanging="360"/>
      </w:pPr>
      <w:rPr>
        <w:rFonts w:ascii="Wingdings" w:hAnsi="Wingdings" w:hint="default"/>
        <w:color w:val="00B0F0"/>
      </w:rPr>
    </w:lvl>
    <w:lvl w:ilvl="1" w:tplc="6D720CB8">
      <w:start w:val="1"/>
      <w:numFmt w:val="lowerRoman"/>
      <w:lvlText w:val="%2."/>
      <w:lvlJc w:val="left"/>
      <w:pPr>
        <w:ind w:left="1987" w:hanging="360"/>
      </w:pPr>
      <w:rPr>
        <w:rFonts w:hint="default"/>
        <w:color w:val="00B0F0"/>
      </w:rPr>
    </w:lvl>
    <w:lvl w:ilvl="2" w:tplc="08090005">
      <w:start w:val="1"/>
      <w:numFmt w:val="bullet"/>
      <w:lvlText w:val=""/>
      <w:lvlJc w:val="left"/>
      <w:pPr>
        <w:ind w:left="2707" w:hanging="360"/>
      </w:pPr>
      <w:rPr>
        <w:rFonts w:ascii="Wingdings" w:hAnsi="Wingdings" w:hint="default"/>
      </w:rPr>
    </w:lvl>
    <w:lvl w:ilvl="3" w:tplc="08090001">
      <w:start w:val="1"/>
      <w:numFmt w:val="bullet"/>
      <w:lvlText w:val=""/>
      <w:lvlJc w:val="left"/>
      <w:pPr>
        <w:ind w:left="3427" w:hanging="360"/>
      </w:pPr>
      <w:rPr>
        <w:rFonts w:ascii="Symbol" w:hAnsi="Symbol" w:hint="default"/>
      </w:rPr>
    </w:lvl>
    <w:lvl w:ilvl="4" w:tplc="08090003">
      <w:start w:val="1"/>
      <w:numFmt w:val="bullet"/>
      <w:lvlText w:val="o"/>
      <w:lvlJc w:val="left"/>
      <w:pPr>
        <w:ind w:left="4147" w:hanging="360"/>
      </w:pPr>
      <w:rPr>
        <w:rFonts w:ascii="Courier New" w:hAnsi="Courier New" w:cs="Courier New" w:hint="default"/>
      </w:rPr>
    </w:lvl>
    <w:lvl w:ilvl="5" w:tplc="08090005">
      <w:start w:val="1"/>
      <w:numFmt w:val="bullet"/>
      <w:lvlText w:val=""/>
      <w:lvlJc w:val="left"/>
      <w:pPr>
        <w:ind w:left="4867" w:hanging="360"/>
      </w:pPr>
      <w:rPr>
        <w:rFonts w:ascii="Wingdings" w:hAnsi="Wingdings" w:hint="default"/>
      </w:rPr>
    </w:lvl>
    <w:lvl w:ilvl="6" w:tplc="0809000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33" w15:restartNumberingAfterBreak="0">
    <w:nsid w:val="5EBAD879"/>
    <w:multiLevelType w:val="hybridMultilevel"/>
    <w:tmpl w:val="A370765E"/>
    <w:lvl w:ilvl="0" w:tplc="54386894">
      <w:start w:val="1"/>
      <w:numFmt w:val="bullet"/>
      <w:lvlText w:val=""/>
      <w:lvlJc w:val="left"/>
      <w:pPr>
        <w:ind w:left="720" w:hanging="360"/>
      </w:pPr>
      <w:rPr>
        <w:rFonts w:ascii="Symbol" w:hAnsi="Symbol" w:hint="default"/>
      </w:rPr>
    </w:lvl>
    <w:lvl w:ilvl="1" w:tplc="9722916C">
      <w:start w:val="1"/>
      <w:numFmt w:val="bullet"/>
      <w:lvlText w:val="o"/>
      <w:lvlJc w:val="left"/>
      <w:pPr>
        <w:ind w:left="1440" w:hanging="360"/>
      </w:pPr>
      <w:rPr>
        <w:rFonts w:ascii="Courier New" w:hAnsi="Courier New" w:hint="default"/>
      </w:rPr>
    </w:lvl>
    <w:lvl w:ilvl="2" w:tplc="41001790">
      <w:start w:val="1"/>
      <w:numFmt w:val="bullet"/>
      <w:lvlText w:val=""/>
      <w:lvlJc w:val="left"/>
      <w:pPr>
        <w:ind w:left="2160" w:hanging="360"/>
      </w:pPr>
      <w:rPr>
        <w:rFonts w:ascii="Wingdings" w:hAnsi="Wingdings" w:hint="default"/>
      </w:rPr>
    </w:lvl>
    <w:lvl w:ilvl="3" w:tplc="5B52E570">
      <w:start w:val="1"/>
      <w:numFmt w:val="bullet"/>
      <w:lvlText w:val=""/>
      <w:lvlJc w:val="left"/>
      <w:pPr>
        <w:ind w:left="2880" w:hanging="360"/>
      </w:pPr>
      <w:rPr>
        <w:rFonts w:ascii="Symbol" w:hAnsi="Symbol" w:hint="default"/>
      </w:rPr>
    </w:lvl>
    <w:lvl w:ilvl="4" w:tplc="8034AF3A">
      <w:start w:val="1"/>
      <w:numFmt w:val="bullet"/>
      <w:lvlText w:val="o"/>
      <w:lvlJc w:val="left"/>
      <w:pPr>
        <w:ind w:left="3600" w:hanging="360"/>
      </w:pPr>
      <w:rPr>
        <w:rFonts w:ascii="Courier New" w:hAnsi="Courier New" w:hint="default"/>
      </w:rPr>
    </w:lvl>
    <w:lvl w:ilvl="5" w:tplc="E5D01900">
      <w:start w:val="1"/>
      <w:numFmt w:val="bullet"/>
      <w:lvlText w:val=""/>
      <w:lvlJc w:val="left"/>
      <w:pPr>
        <w:ind w:left="4320" w:hanging="360"/>
      </w:pPr>
      <w:rPr>
        <w:rFonts w:ascii="Wingdings" w:hAnsi="Wingdings" w:hint="default"/>
      </w:rPr>
    </w:lvl>
    <w:lvl w:ilvl="6" w:tplc="6DCE01CA">
      <w:start w:val="1"/>
      <w:numFmt w:val="bullet"/>
      <w:lvlText w:val=""/>
      <w:lvlJc w:val="left"/>
      <w:pPr>
        <w:ind w:left="5040" w:hanging="360"/>
      </w:pPr>
      <w:rPr>
        <w:rFonts w:ascii="Symbol" w:hAnsi="Symbol" w:hint="default"/>
      </w:rPr>
    </w:lvl>
    <w:lvl w:ilvl="7" w:tplc="E0908658">
      <w:start w:val="1"/>
      <w:numFmt w:val="bullet"/>
      <w:lvlText w:val="o"/>
      <w:lvlJc w:val="left"/>
      <w:pPr>
        <w:ind w:left="5760" w:hanging="360"/>
      </w:pPr>
      <w:rPr>
        <w:rFonts w:ascii="Courier New" w:hAnsi="Courier New" w:hint="default"/>
      </w:rPr>
    </w:lvl>
    <w:lvl w:ilvl="8" w:tplc="567A094E">
      <w:start w:val="1"/>
      <w:numFmt w:val="bullet"/>
      <w:lvlText w:val=""/>
      <w:lvlJc w:val="left"/>
      <w:pPr>
        <w:ind w:left="6480" w:hanging="360"/>
      </w:pPr>
      <w:rPr>
        <w:rFonts w:ascii="Wingdings" w:hAnsi="Wingdings" w:hint="default"/>
      </w:rPr>
    </w:lvl>
  </w:abstractNum>
  <w:abstractNum w:abstractNumId="34" w15:restartNumberingAfterBreak="0">
    <w:nsid w:val="5EEE1130"/>
    <w:multiLevelType w:val="hybridMultilevel"/>
    <w:tmpl w:val="46463F64"/>
    <w:lvl w:ilvl="0" w:tplc="1D4A20FE">
      <w:start w:val="68"/>
      <w:numFmt w:val="decimal"/>
      <w:lvlText w:val="%1."/>
      <w:lvlJc w:val="left"/>
      <w:pPr>
        <w:ind w:left="98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4331C9"/>
    <w:multiLevelType w:val="hybridMultilevel"/>
    <w:tmpl w:val="675230E0"/>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51C3354"/>
    <w:multiLevelType w:val="hybridMultilevel"/>
    <w:tmpl w:val="9FAE3EE6"/>
    <w:lvl w:ilvl="0" w:tplc="9B2C63FA">
      <w:start w:val="1"/>
      <w:numFmt w:val="bullet"/>
      <w:lvlText w:val=""/>
      <w:lvlJc w:val="left"/>
      <w:pPr>
        <w:tabs>
          <w:tab w:val="num" w:pos="1080"/>
        </w:tabs>
        <w:ind w:left="1080" w:hanging="360"/>
      </w:pPr>
      <w:rPr>
        <w:rFonts w:ascii="Wingdings" w:hAnsi="Wingdings" w:hint="default"/>
        <w:color w:val="000080"/>
      </w:rPr>
    </w:lvl>
    <w:lvl w:ilvl="1" w:tplc="08090017">
      <w:start w:val="1"/>
      <w:numFmt w:val="lowerLetter"/>
      <w:lvlText w:val="%2)"/>
      <w:lvlJc w:val="left"/>
      <w:pPr>
        <w:tabs>
          <w:tab w:val="num" w:pos="1440"/>
        </w:tabs>
        <w:ind w:left="1440" w:hanging="360"/>
      </w:pPr>
      <w:rPr>
        <w:rFonts w:hint="default"/>
        <w:color w:val="000080"/>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F11477"/>
    <w:multiLevelType w:val="singleLevel"/>
    <w:tmpl w:val="321CD2DE"/>
    <w:lvl w:ilvl="0">
      <w:start w:val="23"/>
      <w:numFmt w:val="decimal"/>
      <w:pStyle w:val="ReportNumbering"/>
      <w:lvlText w:val="%1."/>
      <w:lvlJc w:val="left"/>
      <w:pPr>
        <w:tabs>
          <w:tab w:val="num" w:pos="360"/>
        </w:tabs>
        <w:ind w:left="360" w:hanging="360"/>
      </w:pPr>
      <w:rPr>
        <w:rFonts w:hint="default"/>
      </w:rPr>
    </w:lvl>
  </w:abstractNum>
  <w:abstractNum w:abstractNumId="38" w15:restartNumberingAfterBreak="0">
    <w:nsid w:val="680EFF3F"/>
    <w:multiLevelType w:val="hybridMultilevel"/>
    <w:tmpl w:val="99D03530"/>
    <w:lvl w:ilvl="0" w:tplc="FA4CCC38">
      <w:start w:val="1"/>
      <w:numFmt w:val="bullet"/>
      <w:lvlText w:val=""/>
      <w:lvlJc w:val="left"/>
      <w:pPr>
        <w:ind w:left="720" w:hanging="360"/>
      </w:pPr>
      <w:rPr>
        <w:rFonts w:ascii="Symbol" w:hAnsi="Symbol" w:hint="default"/>
      </w:rPr>
    </w:lvl>
    <w:lvl w:ilvl="1" w:tplc="35160996">
      <w:start w:val="1"/>
      <w:numFmt w:val="bullet"/>
      <w:lvlText w:val="o"/>
      <w:lvlJc w:val="left"/>
      <w:pPr>
        <w:ind w:left="1440" w:hanging="360"/>
      </w:pPr>
      <w:rPr>
        <w:rFonts w:ascii="Courier New" w:hAnsi="Courier New" w:hint="default"/>
      </w:rPr>
    </w:lvl>
    <w:lvl w:ilvl="2" w:tplc="00900A80">
      <w:start w:val="1"/>
      <w:numFmt w:val="bullet"/>
      <w:lvlText w:val=""/>
      <w:lvlJc w:val="left"/>
      <w:pPr>
        <w:ind w:left="2160" w:hanging="360"/>
      </w:pPr>
      <w:rPr>
        <w:rFonts w:ascii="Wingdings" w:hAnsi="Wingdings" w:hint="default"/>
      </w:rPr>
    </w:lvl>
    <w:lvl w:ilvl="3" w:tplc="1018E686">
      <w:start w:val="1"/>
      <w:numFmt w:val="bullet"/>
      <w:lvlText w:val=""/>
      <w:lvlJc w:val="left"/>
      <w:pPr>
        <w:ind w:left="2880" w:hanging="360"/>
      </w:pPr>
      <w:rPr>
        <w:rFonts w:ascii="Symbol" w:hAnsi="Symbol" w:hint="default"/>
      </w:rPr>
    </w:lvl>
    <w:lvl w:ilvl="4" w:tplc="23527718">
      <w:start w:val="1"/>
      <w:numFmt w:val="bullet"/>
      <w:lvlText w:val="o"/>
      <w:lvlJc w:val="left"/>
      <w:pPr>
        <w:ind w:left="3600" w:hanging="360"/>
      </w:pPr>
      <w:rPr>
        <w:rFonts w:ascii="Courier New" w:hAnsi="Courier New" w:hint="default"/>
      </w:rPr>
    </w:lvl>
    <w:lvl w:ilvl="5" w:tplc="4DB45700">
      <w:start w:val="1"/>
      <w:numFmt w:val="bullet"/>
      <w:lvlText w:val=""/>
      <w:lvlJc w:val="left"/>
      <w:pPr>
        <w:ind w:left="4320" w:hanging="360"/>
      </w:pPr>
      <w:rPr>
        <w:rFonts w:ascii="Wingdings" w:hAnsi="Wingdings" w:hint="default"/>
      </w:rPr>
    </w:lvl>
    <w:lvl w:ilvl="6" w:tplc="0C0A599A">
      <w:start w:val="1"/>
      <w:numFmt w:val="bullet"/>
      <w:lvlText w:val=""/>
      <w:lvlJc w:val="left"/>
      <w:pPr>
        <w:ind w:left="5040" w:hanging="360"/>
      </w:pPr>
      <w:rPr>
        <w:rFonts w:ascii="Symbol" w:hAnsi="Symbol" w:hint="default"/>
      </w:rPr>
    </w:lvl>
    <w:lvl w:ilvl="7" w:tplc="FC0E41F4">
      <w:start w:val="1"/>
      <w:numFmt w:val="bullet"/>
      <w:lvlText w:val="o"/>
      <w:lvlJc w:val="left"/>
      <w:pPr>
        <w:ind w:left="5760" w:hanging="360"/>
      </w:pPr>
      <w:rPr>
        <w:rFonts w:ascii="Courier New" w:hAnsi="Courier New" w:hint="default"/>
      </w:rPr>
    </w:lvl>
    <w:lvl w:ilvl="8" w:tplc="BFF0CD68">
      <w:start w:val="1"/>
      <w:numFmt w:val="bullet"/>
      <w:lvlText w:val=""/>
      <w:lvlJc w:val="left"/>
      <w:pPr>
        <w:ind w:left="6480" w:hanging="360"/>
      </w:pPr>
      <w:rPr>
        <w:rFonts w:ascii="Wingdings" w:hAnsi="Wingdings" w:hint="default"/>
      </w:rPr>
    </w:lvl>
  </w:abstractNum>
  <w:abstractNum w:abstractNumId="39" w15:restartNumberingAfterBreak="0">
    <w:nsid w:val="68457B63"/>
    <w:multiLevelType w:val="hybridMultilevel"/>
    <w:tmpl w:val="9D429204"/>
    <w:lvl w:ilvl="0" w:tplc="0CB83FFC">
      <w:start w:val="46"/>
      <w:numFmt w:val="decimal"/>
      <w:lvlText w:val="%1."/>
      <w:lvlJc w:val="left"/>
      <w:pPr>
        <w:ind w:left="86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B451DF"/>
    <w:multiLevelType w:val="hybridMultilevel"/>
    <w:tmpl w:val="BC78E394"/>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2DA0D97C">
      <w:start w:val="85"/>
      <w:numFmt w:val="decimal"/>
      <w:lvlText w:val="%3"/>
      <w:lvlJc w:val="left"/>
      <w:pPr>
        <w:ind w:left="2520" w:hanging="360"/>
      </w:pPr>
      <w:rPr>
        <w:rFont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C705A6C"/>
    <w:multiLevelType w:val="hybridMultilevel"/>
    <w:tmpl w:val="DF80C812"/>
    <w:lvl w:ilvl="0" w:tplc="F4CCFD98">
      <w:start w:val="1"/>
      <w:numFmt w:val="lowerLetter"/>
      <w:lvlText w:val="%1)"/>
      <w:lvlJc w:val="left"/>
      <w:pPr>
        <w:ind w:left="928"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E317E4"/>
    <w:multiLevelType w:val="hybridMultilevel"/>
    <w:tmpl w:val="0896D6A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04DA7A0"/>
    <w:multiLevelType w:val="hybridMultilevel"/>
    <w:tmpl w:val="354AAD7E"/>
    <w:lvl w:ilvl="0" w:tplc="40381EA2">
      <w:start w:val="95"/>
      <w:numFmt w:val="decimal"/>
      <w:lvlText w:val="%1."/>
      <w:lvlJc w:val="left"/>
      <w:pPr>
        <w:ind w:left="1069" w:hanging="360"/>
      </w:pPr>
    </w:lvl>
    <w:lvl w:ilvl="1" w:tplc="88F6C9C4">
      <w:start w:val="1"/>
      <w:numFmt w:val="lowerLetter"/>
      <w:lvlText w:val="%2."/>
      <w:lvlJc w:val="left"/>
      <w:pPr>
        <w:ind w:left="1440" w:hanging="360"/>
      </w:pPr>
    </w:lvl>
    <w:lvl w:ilvl="2" w:tplc="FAE81A38">
      <w:start w:val="1"/>
      <w:numFmt w:val="lowerRoman"/>
      <w:lvlText w:val="%3."/>
      <w:lvlJc w:val="right"/>
      <w:pPr>
        <w:ind w:left="2160" w:hanging="180"/>
      </w:pPr>
    </w:lvl>
    <w:lvl w:ilvl="3" w:tplc="5D5C1186">
      <w:start w:val="1"/>
      <w:numFmt w:val="decimal"/>
      <w:lvlText w:val="%4."/>
      <w:lvlJc w:val="left"/>
      <w:pPr>
        <w:ind w:left="2880" w:hanging="360"/>
      </w:pPr>
    </w:lvl>
    <w:lvl w:ilvl="4" w:tplc="A4D2A426">
      <w:start w:val="1"/>
      <w:numFmt w:val="lowerLetter"/>
      <w:lvlText w:val="%5."/>
      <w:lvlJc w:val="left"/>
      <w:pPr>
        <w:ind w:left="3600" w:hanging="360"/>
      </w:pPr>
    </w:lvl>
    <w:lvl w:ilvl="5" w:tplc="F2DC9918">
      <w:start w:val="1"/>
      <w:numFmt w:val="lowerRoman"/>
      <w:lvlText w:val="%6."/>
      <w:lvlJc w:val="right"/>
      <w:pPr>
        <w:ind w:left="4320" w:hanging="180"/>
      </w:pPr>
    </w:lvl>
    <w:lvl w:ilvl="6" w:tplc="AD0C5BB8">
      <w:start w:val="1"/>
      <w:numFmt w:val="decimal"/>
      <w:lvlText w:val="%7."/>
      <w:lvlJc w:val="left"/>
      <w:pPr>
        <w:ind w:left="5040" w:hanging="360"/>
      </w:pPr>
    </w:lvl>
    <w:lvl w:ilvl="7" w:tplc="22A0CEB6">
      <w:start w:val="1"/>
      <w:numFmt w:val="lowerLetter"/>
      <w:lvlText w:val="%8."/>
      <w:lvlJc w:val="left"/>
      <w:pPr>
        <w:ind w:left="5760" w:hanging="360"/>
      </w:pPr>
    </w:lvl>
    <w:lvl w:ilvl="8" w:tplc="A176B8AC">
      <w:start w:val="1"/>
      <w:numFmt w:val="lowerRoman"/>
      <w:lvlText w:val="%9."/>
      <w:lvlJc w:val="right"/>
      <w:pPr>
        <w:ind w:left="6480" w:hanging="180"/>
      </w:pPr>
    </w:lvl>
  </w:abstractNum>
  <w:abstractNum w:abstractNumId="44" w15:restartNumberingAfterBreak="0">
    <w:nsid w:val="72922D86"/>
    <w:multiLevelType w:val="hybridMultilevel"/>
    <w:tmpl w:val="93EA02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785A78"/>
    <w:multiLevelType w:val="hybridMultilevel"/>
    <w:tmpl w:val="B27272A6"/>
    <w:lvl w:ilvl="0" w:tplc="BC5484A6">
      <w:start w:val="64"/>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264F6E"/>
    <w:multiLevelType w:val="hybridMultilevel"/>
    <w:tmpl w:val="0FBAAE0A"/>
    <w:lvl w:ilvl="0" w:tplc="70AE4E44">
      <w:start w:val="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992505"/>
    <w:multiLevelType w:val="hybridMultilevel"/>
    <w:tmpl w:val="AF7217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62494467">
    <w:abstractNumId w:val="4"/>
  </w:num>
  <w:num w:numId="2" w16cid:durableId="1329141368">
    <w:abstractNumId w:val="43"/>
  </w:num>
  <w:num w:numId="3" w16cid:durableId="498350543">
    <w:abstractNumId w:val="37"/>
  </w:num>
  <w:num w:numId="4" w16cid:durableId="1853370342">
    <w:abstractNumId w:val="24"/>
  </w:num>
  <w:num w:numId="5" w16cid:durableId="1730492241">
    <w:abstractNumId w:val="42"/>
  </w:num>
  <w:num w:numId="6" w16cid:durableId="7950552">
    <w:abstractNumId w:val="14"/>
  </w:num>
  <w:num w:numId="7" w16cid:durableId="15085170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5029446">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8411736">
    <w:abstractNumId w:val="40"/>
  </w:num>
  <w:num w:numId="10" w16cid:durableId="654259319">
    <w:abstractNumId w:val="6"/>
  </w:num>
  <w:num w:numId="11" w16cid:durableId="167789969">
    <w:abstractNumId w:val="5"/>
  </w:num>
  <w:num w:numId="12" w16cid:durableId="974145370">
    <w:abstractNumId w:val="7"/>
  </w:num>
  <w:num w:numId="13" w16cid:durableId="1129709874">
    <w:abstractNumId w:val="44"/>
  </w:num>
  <w:num w:numId="14" w16cid:durableId="1493523329">
    <w:abstractNumId w:val="41"/>
  </w:num>
  <w:num w:numId="15" w16cid:durableId="370692671">
    <w:abstractNumId w:val="11"/>
  </w:num>
  <w:num w:numId="16" w16cid:durableId="1590039699">
    <w:abstractNumId w:val="35"/>
  </w:num>
  <w:num w:numId="17" w16cid:durableId="1198198587">
    <w:abstractNumId w:val="31"/>
  </w:num>
  <w:num w:numId="18" w16cid:durableId="2085639052">
    <w:abstractNumId w:val="36"/>
  </w:num>
  <w:num w:numId="19" w16cid:durableId="1447431014">
    <w:abstractNumId w:val="3"/>
  </w:num>
  <w:num w:numId="20" w16cid:durableId="1069812502">
    <w:abstractNumId w:val="32"/>
  </w:num>
  <w:num w:numId="21" w16cid:durableId="2028556033">
    <w:abstractNumId w:val="17"/>
  </w:num>
  <w:num w:numId="22" w16cid:durableId="1094518212">
    <w:abstractNumId w:val="10"/>
  </w:num>
  <w:num w:numId="23" w16cid:durableId="1631784619">
    <w:abstractNumId w:val="15"/>
  </w:num>
  <w:num w:numId="24" w16cid:durableId="1229539894">
    <w:abstractNumId w:val="47"/>
  </w:num>
  <w:num w:numId="25" w16cid:durableId="41908657">
    <w:abstractNumId w:val="26"/>
  </w:num>
  <w:num w:numId="26" w16cid:durableId="1895655678">
    <w:abstractNumId w:val="0"/>
  </w:num>
  <w:num w:numId="27" w16cid:durableId="189536676">
    <w:abstractNumId w:val="12"/>
  </w:num>
  <w:num w:numId="28" w16cid:durableId="229972050">
    <w:abstractNumId w:val="46"/>
  </w:num>
  <w:num w:numId="29" w16cid:durableId="1837260803">
    <w:abstractNumId w:val="18"/>
  </w:num>
  <w:num w:numId="30" w16cid:durableId="1592854475">
    <w:abstractNumId w:val="19"/>
  </w:num>
  <w:num w:numId="31" w16cid:durableId="1671982027">
    <w:abstractNumId w:val="9"/>
  </w:num>
  <w:num w:numId="32" w16cid:durableId="670762116">
    <w:abstractNumId w:val="23"/>
  </w:num>
  <w:num w:numId="33" w16cid:durableId="256184256">
    <w:abstractNumId w:val="33"/>
  </w:num>
  <w:num w:numId="34" w16cid:durableId="1839811823">
    <w:abstractNumId w:val="38"/>
  </w:num>
  <w:num w:numId="35" w16cid:durableId="284580829">
    <w:abstractNumId w:val="20"/>
  </w:num>
  <w:num w:numId="36" w16cid:durableId="639767963">
    <w:abstractNumId w:val="22"/>
  </w:num>
  <w:num w:numId="37" w16cid:durableId="1176000603">
    <w:abstractNumId w:val="29"/>
  </w:num>
  <w:num w:numId="38" w16cid:durableId="836194312">
    <w:abstractNumId w:val="8"/>
  </w:num>
  <w:num w:numId="39" w16cid:durableId="581645890">
    <w:abstractNumId w:val="30"/>
  </w:num>
  <w:num w:numId="40" w16cid:durableId="753167684">
    <w:abstractNumId w:val="13"/>
  </w:num>
  <w:num w:numId="41" w16cid:durableId="1101024408">
    <w:abstractNumId w:val="16"/>
  </w:num>
  <w:num w:numId="42" w16cid:durableId="292056990">
    <w:abstractNumId w:val="25"/>
  </w:num>
  <w:num w:numId="43" w16cid:durableId="1027559737">
    <w:abstractNumId w:val="27"/>
  </w:num>
  <w:num w:numId="44" w16cid:durableId="1877885610">
    <w:abstractNumId w:val="21"/>
  </w:num>
  <w:num w:numId="45" w16cid:durableId="1641114841">
    <w:abstractNumId w:val="2"/>
  </w:num>
  <w:num w:numId="46" w16cid:durableId="64182620">
    <w:abstractNumId w:val="39"/>
  </w:num>
  <w:num w:numId="47" w16cid:durableId="564101067">
    <w:abstractNumId w:val="45"/>
  </w:num>
  <w:num w:numId="48" w16cid:durableId="358429267">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92"/>
    <w:rsid w:val="00000121"/>
    <w:rsid w:val="00000222"/>
    <w:rsid w:val="00000801"/>
    <w:rsid w:val="00000EAF"/>
    <w:rsid w:val="00001F53"/>
    <w:rsid w:val="00002364"/>
    <w:rsid w:val="000026E1"/>
    <w:rsid w:val="00002ACC"/>
    <w:rsid w:val="0000329A"/>
    <w:rsid w:val="00003553"/>
    <w:rsid w:val="00003F37"/>
    <w:rsid w:val="00003FE6"/>
    <w:rsid w:val="00004448"/>
    <w:rsid w:val="0000468F"/>
    <w:rsid w:val="00004FC3"/>
    <w:rsid w:val="00005687"/>
    <w:rsid w:val="00006CD9"/>
    <w:rsid w:val="0000772B"/>
    <w:rsid w:val="00007ABF"/>
    <w:rsid w:val="00010588"/>
    <w:rsid w:val="00010B1F"/>
    <w:rsid w:val="00011A39"/>
    <w:rsid w:val="00011F07"/>
    <w:rsid w:val="0001206E"/>
    <w:rsid w:val="000120B5"/>
    <w:rsid w:val="0001278A"/>
    <w:rsid w:val="00013245"/>
    <w:rsid w:val="0001377A"/>
    <w:rsid w:val="00014411"/>
    <w:rsid w:val="000148E2"/>
    <w:rsid w:val="00014AC3"/>
    <w:rsid w:val="00014CCE"/>
    <w:rsid w:val="00014D43"/>
    <w:rsid w:val="00015264"/>
    <w:rsid w:val="0001589B"/>
    <w:rsid w:val="00015C8A"/>
    <w:rsid w:val="000163B9"/>
    <w:rsid w:val="00016AF4"/>
    <w:rsid w:val="00017261"/>
    <w:rsid w:val="000175EB"/>
    <w:rsid w:val="00017EC1"/>
    <w:rsid w:val="0002042E"/>
    <w:rsid w:val="0002084D"/>
    <w:rsid w:val="00020BF5"/>
    <w:rsid w:val="00022FE4"/>
    <w:rsid w:val="00023727"/>
    <w:rsid w:val="00023C36"/>
    <w:rsid w:val="000244DC"/>
    <w:rsid w:val="00024602"/>
    <w:rsid w:val="00024BFA"/>
    <w:rsid w:val="00024C99"/>
    <w:rsid w:val="00025407"/>
    <w:rsid w:val="00025602"/>
    <w:rsid w:val="00025F02"/>
    <w:rsid w:val="000268B4"/>
    <w:rsid w:val="0002692D"/>
    <w:rsid w:val="00026D0F"/>
    <w:rsid w:val="00026D54"/>
    <w:rsid w:val="00026DCF"/>
    <w:rsid w:val="0002745F"/>
    <w:rsid w:val="00027ABF"/>
    <w:rsid w:val="00030319"/>
    <w:rsid w:val="00030608"/>
    <w:rsid w:val="000312D5"/>
    <w:rsid w:val="00031417"/>
    <w:rsid w:val="000314D9"/>
    <w:rsid w:val="00032DD3"/>
    <w:rsid w:val="00033D04"/>
    <w:rsid w:val="00034D3C"/>
    <w:rsid w:val="0003598D"/>
    <w:rsid w:val="00035CCD"/>
    <w:rsid w:val="00036846"/>
    <w:rsid w:val="00036B31"/>
    <w:rsid w:val="00036BC5"/>
    <w:rsid w:val="00036C62"/>
    <w:rsid w:val="000374C3"/>
    <w:rsid w:val="000375DC"/>
    <w:rsid w:val="0003781E"/>
    <w:rsid w:val="00037D09"/>
    <w:rsid w:val="000400F2"/>
    <w:rsid w:val="000409F1"/>
    <w:rsid w:val="00040FE0"/>
    <w:rsid w:val="0004116B"/>
    <w:rsid w:val="00041422"/>
    <w:rsid w:val="000416F1"/>
    <w:rsid w:val="00041DBF"/>
    <w:rsid w:val="00042E37"/>
    <w:rsid w:val="000433C7"/>
    <w:rsid w:val="00044679"/>
    <w:rsid w:val="00044853"/>
    <w:rsid w:val="00044EA6"/>
    <w:rsid w:val="0004517D"/>
    <w:rsid w:val="00046369"/>
    <w:rsid w:val="00046493"/>
    <w:rsid w:val="0004668D"/>
    <w:rsid w:val="00046ACD"/>
    <w:rsid w:val="00046AF4"/>
    <w:rsid w:val="000500E3"/>
    <w:rsid w:val="000501D8"/>
    <w:rsid w:val="000511A0"/>
    <w:rsid w:val="000515AC"/>
    <w:rsid w:val="00051E70"/>
    <w:rsid w:val="00052F09"/>
    <w:rsid w:val="0005334B"/>
    <w:rsid w:val="0005375B"/>
    <w:rsid w:val="00053B8A"/>
    <w:rsid w:val="0005470D"/>
    <w:rsid w:val="000548A5"/>
    <w:rsid w:val="0005525B"/>
    <w:rsid w:val="000552B5"/>
    <w:rsid w:val="000552C7"/>
    <w:rsid w:val="00056263"/>
    <w:rsid w:val="00056945"/>
    <w:rsid w:val="00056DFB"/>
    <w:rsid w:val="000602B2"/>
    <w:rsid w:val="00060980"/>
    <w:rsid w:val="00061569"/>
    <w:rsid w:val="00061BC8"/>
    <w:rsid w:val="00061CDD"/>
    <w:rsid w:val="00062D8F"/>
    <w:rsid w:val="00062F4A"/>
    <w:rsid w:val="00064089"/>
    <w:rsid w:val="00064FD2"/>
    <w:rsid w:val="000651D3"/>
    <w:rsid w:val="00065297"/>
    <w:rsid w:val="000656A9"/>
    <w:rsid w:val="0006697E"/>
    <w:rsid w:val="0006701F"/>
    <w:rsid w:val="000670D8"/>
    <w:rsid w:val="000675DC"/>
    <w:rsid w:val="00067B5C"/>
    <w:rsid w:val="00070723"/>
    <w:rsid w:val="00071748"/>
    <w:rsid w:val="00071B82"/>
    <w:rsid w:val="00071E87"/>
    <w:rsid w:val="00072140"/>
    <w:rsid w:val="000725D4"/>
    <w:rsid w:val="0007294E"/>
    <w:rsid w:val="00072AA9"/>
    <w:rsid w:val="00072E78"/>
    <w:rsid w:val="00073637"/>
    <w:rsid w:val="00073CCA"/>
    <w:rsid w:val="000743AA"/>
    <w:rsid w:val="00074599"/>
    <w:rsid w:val="00074897"/>
    <w:rsid w:val="00074C0E"/>
    <w:rsid w:val="00074F35"/>
    <w:rsid w:val="00075169"/>
    <w:rsid w:val="00075960"/>
    <w:rsid w:val="000759EC"/>
    <w:rsid w:val="00076698"/>
    <w:rsid w:val="00076A88"/>
    <w:rsid w:val="00076B5A"/>
    <w:rsid w:val="00076FD9"/>
    <w:rsid w:val="00077B02"/>
    <w:rsid w:val="00080020"/>
    <w:rsid w:val="000806EF"/>
    <w:rsid w:val="000808EA"/>
    <w:rsid w:val="00080E20"/>
    <w:rsid w:val="00081C7F"/>
    <w:rsid w:val="00081FC3"/>
    <w:rsid w:val="000822E2"/>
    <w:rsid w:val="000833D1"/>
    <w:rsid w:val="00083889"/>
    <w:rsid w:val="00083D3A"/>
    <w:rsid w:val="000841DB"/>
    <w:rsid w:val="000851F2"/>
    <w:rsid w:val="0008606E"/>
    <w:rsid w:val="00086317"/>
    <w:rsid w:val="000864AE"/>
    <w:rsid w:val="0008651B"/>
    <w:rsid w:val="0008663A"/>
    <w:rsid w:val="00086B56"/>
    <w:rsid w:val="00086E85"/>
    <w:rsid w:val="00086EBA"/>
    <w:rsid w:val="00087185"/>
    <w:rsid w:val="00087507"/>
    <w:rsid w:val="000905AF"/>
    <w:rsid w:val="000909AE"/>
    <w:rsid w:val="0009116B"/>
    <w:rsid w:val="000911F3"/>
    <w:rsid w:val="00091D62"/>
    <w:rsid w:val="00092035"/>
    <w:rsid w:val="000929EA"/>
    <w:rsid w:val="00093B9A"/>
    <w:rsid w:val="00093D0E"/>
    <w:rsid w:val="0009449A"/>
    <w:rsid w:val="00094D1E"/>
    <w:rsid w:val="00094E55"/>
    <w:rsid w:val="00095085"/>
    <w:rsid w:val="0009508F"/>
    <w:rsid w:val="00095D72"/>
    <w:rsid w:val="0009616E"/>
    <w:rsid w:val="000969FD"/>
    <w:rsid w:val="00096BAD"/>
    <w:rsid w:val="00096D1F"/>
    <w:rsid w:val="000973F8"/>
    <w:rsid w:val="0009753F"/>
    <w:rsid w:val="00097D70"/>
    <w:rsid w:val="00097FD6"/>
    <w:rsid w:val="00097FFC"/>
    <w:rsid w:val="000A0E93"/>
    <w:rsid w:val="000A1460"/>
    <w:rsid w:val="000A18C0"/>
    <w:rsid w:val="000A1EA2"/>
    <w:rsid w:val="000A24A0"/>
    <w:rsid w:val="000A2AD5"/>
    <w:rsid w:val="000A2BAF"/>
    <w:rsid w:val="000A392F"/>
    <w:rsid w:val="000A398F"/>
    <w:rsid w:val="000A41FF"/>
    <w:rsid w:val="000A487D"/>
    <w:rsid w:val="000A4CA2"/>
    <w:rsid w:val="000A4F6F"/>
    <w:rsid w:val="000A5CC7"/>
    <w:rsid w:val="000A5D75"/>
    <w:rsid w:val="000A731F"/>
    <w:rsid w:val="000A797A"/>
    <w:rsid w:val="000A7983"/>
    <w:rsid w:val="000A7E41"/>
    <w:rsid w:val="000B1100"/>
    <w:rsid w:val="000B14AD"/>
    <w:rsid w:val="000B173D"/>
    <w:rsid w:val="000B17F5"/>
    <w:rsid w:val="000B1D73"/>
    <w:rsid w:val="000B1DBE"/>
    <w:rsid w:val="000B1FA4"/>
    <w:rsid w:val="000B26A3"/>
    <w:rsid w:val="000B2960"/>
    <w:rsid w:val="000B3050"/>
    <w:rsid w:val="000B366D"/>
    <w:rsid w:val="000B3A12"/>
    <w:rsid w:val="000B3E78"/>
    <w:rsid w:val="000B44CB"/>
    <w:rsid w:val="000B53FF"/>
    <w:rsid w:val="000B5B6B"/>
    <w:rsid w:val="000B6EF3"/>
    <w:rsid w:val="000B71B8"/>
    <w:rsid w:val="000B78D2"/>
    <w:rsid w:val="000B790A"/>
    <w:rsid w:val="000B7B7A"/>
    <w:rsid w:val="000C02A5"/>
    <w:rsid w:val="000C03E1"/>
    <w:rsid w:val="000C0570"/>
    <w:rsid w:val="000C0708"/>
    <w:rsid w:val="000C0D51"/>
    <w:rsid w:val="000C11C5"/>
    <w:rsid w:val="000C143A"/>
    <w:rsid w:val="000C178A"/>
    <w:rsid w:val="000C25EA"/>
    <w:rsid w:val="000C2E11"/>
    <w:rsid w:val="000C34F2"/>
    <w:rsid w:val="000C480C"/>
    <w:rsid w:val="000C4C6F"/>
    <w:rsid w:val="000C5168"/>
    <w:rsid w:val="000C56AB"/>
    <w:rsid w:val="000C5837"/>
    <w:rsid w:val="000C5CA1"/>
    <w:rsid w:val="000C7969"/>
    <w:rsid w:val="000D130C"/>
    <w:rsid w:val="000D1766"/>
    <w:rsid w:val="000D1E25"/>
    <w:rsid w:val="000D20F4"/>
    <w:rsid w:val="000D2B08"/>
    <w:rsid w:val="000D2EE7"/>
    <w:rsid w:val="000D30E4"/>
    <w:rsid w:val="000D3698"/>
    <w:rsid w:val="000D3814"/>
    <w:rsid w:val="000D3F28"/>
    <w:rsid w:val="000D4044"/>
    <w:rsid w:val="000D4065"/>
    <w:rsid w:val="000D4472"/>
    <w:rsid w:val="000D47C6"/>
    <w:rsid w:val="000D4B92"/>
    <w:rsid w:val="000D4F2E"/>
    <w:rsid w:val="000D6B54"/>
    <w:rsid w:val="000D7025"/>
    <w:rsid w:val="000D706D"/>
    <w:rsid w:val="000D75E5"/>
    <w:rsid w:val="000E0DC6"/>
    <w:rsid w:val="000E1129"/>
    <w:rsid w:val="000E2F42"/>
    <w:rsid w:val="000E3190"/>
    <w:rsid w:val="000E31BF"/>
    <w:rsid w:val="000E3E60"/>
    <w:rsid w:val="000E3F75"/>
    <w:rsid w:val="000E3F80"/>
    <w:rsid w:val="000E497C"/>
    <w:rsid w:val="000E4F2D"/>
    <w:rsid w:val="000E5418"/>
    <w:rsid w:val="000E5472"/>
    <w:rsid w:val="000E5A24"/>
    <w:rsid w:val="000E5B30"/>
    <w:rsid w:val="000E6C82"/>
    <w:rsid w:val="000E6C9A"/>
    <w:rsid w:val="000E71F7"/>
    <w:rsid w:val="000F0F83"/>
    <w:rsid w:val="000F2F61"/>
    <w:rsid w:val="000F32AB"/>
    <w:rsid w:val="000F4333"/>
    <w:rsid w:val="000F4C48"/>
    <w:rsid w:val="000F4DED"/>
    <w:rsid w:val="000F51FB"/>
    <w:rsid w:val="000F525A"/>
    <w:rsid w:val="000F56A6"/>
    <w:rsid w:val="000F578B"/>
    <w:rsid w:val="000F5AB8"/>
    <w:rsid w:val="000F6039"/>
    <w:rsid w:val="000F60BE"/>
    <w:rsid w:val="000F663D"/>
    <w:rsid w:val="000F667D"/>
    <w:rsid w:val="000F6691"/>
    <w:rsid w:val="000F7425"/>
    <w:rsid w:val="000F74A3"/>
    <w:rsid w:val="000F7BF7"/>
    <w:rsid w:val="000F8913"/>
    <w:rsid w:val="001005F5"/>
    <w:rsid w:val="00101448"/>
    <w:rsid w:val="00101863"/>
    <w:rsid w:val="00101ED1"/>
    <w:rsid w:val="001025F7"/>
    <w:rsid w:val="00102CFD"/>
    <w:rsid w:val="001031E3"/>
    <w:rsid w:val="0010339A"/>
    <w:rsid w:val="00103401"/>
    <w:rsid w:val="0010389E"/>
    <w:rsid w:val="0010402D"/>
    <w:rsid w:val="0010427B"/>
    <w:rsid w:val="00104315"/>
    <w:rsid w:val="00104937"/>
    <w:rsid w:val="0010571B"/>
    <w:rsid w:val="00105A74"/>
    <w:rsid w:val="00105B5D"/>
    <w:rsid w:val="001064FA"/>
    <w:rsid w:val="00106B77"/>
    <w:rsid w:val="00106D5B"/>
    <w:rsid w:val="00106F11"/>
    <w:rsid w:val="00106FDF"/>
    <w:rsid w:val="0010772D"/>
    <w:rsid w:val="00107DF2"/>
    <w:rsid w:val="00111061"/>
    <w:rsid w:val="001115E2"/>
    <w:rsid w:val="00111817"/>
    <w:rsid w:val="001119EE"/>
    <w:rsid w:val="00111A9E"/>
    <w:rsid w:val="00111ACB"/>
    <w:rsid w:val="00112267"/>
    <w:rsid w:val="00113275"/>
    <w:rsid w:val="00114ABA"/>
    <w:rsid w:val="00115150"/>
    <w:rsid w:val="00115398"/>
    <w:rsid w:val="001156ED"/>
    <w:rsid w:val="00115DCF"/>
    <w:rsid w:val="0011614A"/>
    <w:rsid w:val="00116579"/>
    <w:rsid w:val="001167B2"/>
    <w:rsid w:val="00116B38"/>
    <w:rsid w:val="00117184"/>
    <w:rsid w:val="00120F1B"/>
    <w:rsid w:val="001214BA"/>
    <w:rsid w:val="00121B5A"/>
    <w:rsid w:val="00121CC2"/>
    <w:rsid w:val="00121EE5"/>
    <w:rsid w:val="001223D3"/>
    <w:rsid w:val="00122651"/>
    <w:rsid w:val="00122BDA"/>
    <w:rsid w:val="00122FEC"/>
    <w:rsid w:val="00123FCB"/>
    <w:rsid w:val="00124796"/>
    <w:rsid w:val="00124BC9"/>
    <w:rsid w:val="00126063"/>
    <w:rsid w:val="001266A4"/>
    <w:rsid w:val="00126B8C"/>
    <w:rsid w:val="00127DB3"/>
    <w:rsid w:val="0013139E"/>
    <w:rsid w:val="00131453"/>
    <w:rsid w:val="00131907"/>
    <w:rsid w:val="00132034"/>
    <w:rsid w:val="001323CD"/>
    <w:rsid w:val="00132560"/>
    <w:rsid w:val="00132E38"/>
    <w:rsid w:val="0013316B"/>
    <w:rsid w:val="001336B6"/>
    <w:rsid w:val="00133CFB"/>
    <w:rsid w:val="00133F0E"/>
    <w:rsid w:val="00134321"/>
    <w:rsid w:val="001345A3"/>
    <w:rsid w:val="00134F42"/>
    <w:rsid w:val="00135514"/>
    <w:rsid w:val="00135B22"/>
    <w:rsid w:val="001360D4"/>
    <w:rsid w:val="001363F9"/>
    <w:rsid w:val="00136D03"/>
    <w:rsid w:val="0013726B"/>
    <w:rsid w:val="00137B85"/>
    <w:rsid w:val="00140175"/>
    <w:rsid w:val="00140D1A"/>
    <w:rsid w:val="00140D92"/>
    <w:rsid w:val="00140E24"/>
    <w:rsid w:val="001413C1"/>
    <w:rsid w:val="001416DD"/>
    <w:rsid w:val="00142191"/>
    <w:rsid w:val="001439EB"/>
    <w:rsid w:val="00143B92"/>
    <w:rsid w:val="001447C4"/>
    <w:rsid w:val="00144F8E"/>
    <w:rsid w:val="001450E0"/>
    <w:rsid w:val="001450F5"/>
    <w:rsid w:val="00145219"/>
    <w:rsid w:val="00146B05"/>
    <w:rsid w:val="00147B5A"/>
    <w:rsid w:val="00147DDB"/>
    <w:rsid w:val="0015024A"/>
    <w:rsid w:val="00150735"/>
    <w:rsid w:val="001509CB"/>
    <w:rsid w:val="0015198B"/>
    <w:rsid w:val="00152E53"/>
    <w:rsid w:val="0015339C"/>
    <w:rsid w:val="00153780"/>
    <w:rsid w:val="001537D8"/>
    <w:rsid w:val="00153D29"/>
    <w:rsid w:val="001543E6"/>
    <w:rsid w:val="001551F0"/>
    <w:rsid w:val="00155587"/>
    <w:rsid w:val="00155C18"/>
    <w:rsid w:val="0015605D"/>
    <w:rsid w:val="001560BB"/>
    <w:rsid w:val="00156297"/>
    <w:rsid w:val="00156624"/>
    <w:rsid w:val="001567C0"/>
    <w:rsid w:val="0015693E"/>
    <w:rsid w:val="00156C59"/>
    <w:rsid w:val="00157316"/>
    <w:rsid w:val="00157681"/>
    <w:rsid w:val="00157684"/>
    <w:rsid w:val="00157FF8"/>
    <w:rsid w:val="0016020C"/>
    <w:rsid w:val="001606EC"/>
    <w:rsid w:val="00160B8A"/>
    <w:rsid w:val="00161215"/>
    <w:rsid w:val="001626FF"/>
    <w:rsid w:val="001639C9"/>
    <w:rsid w:val="00163E6D"/>
    <w:rsid w:val="00163FA2"/>
    <w:rsid w:val="00164388"/>
    <w:rsid w:val="001643B0"/>
    <w:rsid w:val="00164F3A"/>
    <w:rsid w:val="00165065"/>
    <w:rsid w:val="0016530C"/>
    <w:rsid w:val="001656EE"/>
    <w:rsid w:val="00165A9E"/>
    <w:rsid w:val="00166E93"/>
    <w:rsid w:val="00167AA0"/>
    <w:rsid w:val="00167B6A"/>
    <w:rsid w:val="001701DE"/>
    <w:rsid w:val="001703BF"/>
    <w:rsid w:val="00170E22"/>
    <w:rsid w:val="00171330"/>
    <w:rsid w:val="001718F2"/>
    <w:rsid w:val="0017223A"/>
    <w:rsid w:val="00172464"/>
    <w:rsid w:val="00172A9D"/>
    <w:rsid w:val="00172E4B"/>
    <w:rsid w:val="001731AA"/>
    <w:rsid w:val="00173519"/>
    <w:rsid w:val="00173E6A"/>
    <w:rsid w:val="00173FED"/>
    <w:rsid w:val="001741D0"/>
    <w:rsid w:val="0017461A"/>
    <w:rsid w:val="00175556"/>
    <w:rsid w:val="0017594A"/>
    <w:rsid w:val="001759B9"/>
    <w:rsid w:val="00175F14"/>
    <w:rsid w:val="00176680"/>
    <w:rsid w:val="00176E2F"/>
    <w:rsid w:val="00177AD4"/>
    <w:rsid w:val="00177CE6"/>
    <w:rsid w:val="00177F3E"/>
    <w:rsid w:val="00180858"/>
    <w:rsid w:val="00180D1A"/>
    <w:rsid w:val="001810E8"/>
    <w:rsid w:val="00181BB5"/>
    <w:rsid w:val="0018345C"/>
    <w:rsid w:val="001837DB"/>
    <w:rsid w:val="00183BCD"/>
    <w:rsid w:val="00183CF4"/>
    <w:rsid w:val="00183FCC"/>
    <w:rsid w:val="00184310"/>
    <w:rsid w:val="00184D04"/>
    <w:rsid w:val="00185787"/>
    <w:rsid w:val="00186119"/>
    <w:rsid w:val="00186C0A"/>
    <w:rsid w:val="0018734E"/>
    <w:rsid w:val="00190022"/>
    <w:rsid w:val="00190B23"/>
    <w:rsid w:val="00190E00"/>
    <w:rsid w:val="00191364"/>
    <w:rsid w:val="001913B3"/>
    <w:rsid w:val="00192987"/>
    <w:rsid w:val="00192E72"/>
    <w:rsid w:val="00193099"/>
    <w:rsid w:val="00193ACD"/>
    <w:rsid w:val="00193D5F"/>
    <w:rsid w:val="001945A0"/>
    <w:rsid w:val="00194A39"/>
    <w:rsid w:val="00194CD3"/>
    <w:rsid w:val="001957FB"/>
    <w:rsid w:val="001959CE"/>
    <w:rsid w:val="00195BAB"/>
    <w:rsid w:val="0019639E"/>
    <w:rsid w:val="0019762F"/>
    <w:rsid w:val="001A0059"/>
    <w:rsid w:val="001A0458"/>
    <w:rsid w:val="001A11B5"/>
    <w:rsid w:val="001A1C85"/>
    <w:rsid w:val="001A30D1"/>
    <w:rsid w:val="001A3A1F"/>
    <w:rsid w:val="001A3EC0"/>
    <w:rsid w:val="001A3FC4"/>
    <w:rsid w:val="001A43DD"/>
    <w:rsid w:val="001A54CF"/>
    <w:rsid w:val="001A65FE"/>
    <w:rsid w:val="001A69A8"/>
    <w:rsid w:val="001A7147"/>
    <w:rsid w:val="001A7422"/>
    <w:rsid w:val="001A7624"/>
    <w:rsid w:val="001A78F7"/>
    <w:rsid w:val="001A7917"/>
    <w:rsid w:val="001A7E58"/>
    <w:rsid w:val="001B0897"/>
    <w:rsid w:val="001B0A3E"/>
    <w:rsid w:val="001B13BD"/>
    <w:rsid w:val="001B143F"/>
    <w:rsid w:val="001B1577"/>
    <w:rsid w:val="001B1636"/>
    <w:rsid w:val="001B2181"/>
    <w:rsid w:val="001B26E2"/>
    <w:rsid w:val="001B3570"/>
    <w:rsid w:val="001B4707"/>
    <w:rsid w:val="001B4B87"/>
    <w:rsid w:val="001B50E3"/>
    <w:rsid w:val="001B52FD"/>
    <w:rsid w:val="001B5807"/>
    <w:rsid w:val="001B5AA5"/>
    <w:rsid w:val="001B64A3"/>
    <w:rsid w:val="001B672D"/>
    <w:rsid w:val="001B71E1"/>
    <w:rsid w:val="001B7EF0"/>
    <w:rsid w:val="001C056B"/>
    <w:rsid w:val="001C162F"/>
    <w:rsid w:val="001C5434"/>
    <w:rsid w:val="001C5D62"/>
    <w:rsid w:val="001C5E0F"/>
    <w:rsid w:val="001C5E3F"/>
    <w:rsid w:val="001C62B8"/>
    <w:rsid w:val="001C6317"/>
    <w:rsid w:val="001C7119"/>
    <w:rsid w:val="001D016D"/>
    <w:rsid w:val="001D04DF"/>
    <w:rsid w:val="001D0B6E"/>
    <w:rsid w:val="001D1F21"/>
    <w:rsid w:val="001D24FF"/>
    <w:rsid w:val="001D265F"/>
    <w:rsid w:val="001D46FA"/>
    <w:rsid w:val="001D5554"/>
    <w:rsid w:val="001D6663"/>
    <w:rsid w:val="001D7F3C"/>
    <w:rsid w:val="001E001B"/>
    <w:rsid w:val="001E089B"/>
    <w:rsid w:val="001E0E18"/>
    <w:rsid w:val="001E12E1"/>
    <w:rsid w:val="001E143D"/>
    <w:rsid w:val="001E14DA"/>
    <w:rsid w:val="001E172C"/>
    <w:rsid w:val="001E18BE"/>
    <w:rsid w:val="001E192A"/>
    <w:rsid w:val="001E1B23"/>
    <w:rsid w:val="001E1E2E"/>
    <w:rsid w:val="001E27C6"/>
    <w:rsid w:val="001E2842"/>
    <w:rsid w:val="001E2DDB"/>
    <w:rsid w:val="001E2FE1"/>
    <w:rsid w:val="001E3197"/>
    <w:rsid w:val="001E4203"/>
    <w:rsid w:val="001E420D"/>
    <w:rsid w:val="001E522B"/>
    <w:rsid w:val="001E5709"/>
    <w:rsid w:val="001E5917"/>
    <w:rsid w:val="001E5C46"/>
    <w:rsid w:val="001E6726"/>
    <w:rsid w:val="001E69EA"/>
    <w:rsid w:val="001E7C47"/>
    <w:rsid w:val="001F0354"/>
    <w:rsid w:val="001F09D5"/>
    <w:rsid w:val="001F158C"/>
    <w:rsid w:val="001F26D7"/>
    <w:rsid w:val="001F439F"/>
    <w:rsid w:val="001F4588"/>
    <w:rsid w:val="001F46D8"/>
    <w:rsid w:val="001F4E04"/>
    <w:rsid w:val="001F51DF"/>
    <w:rsid w:val="001F5CFF"/>
    <w:rsid w:val="001F6064"/>
    <w:rsid w:val="001F6B2F"/>
    <w:rsid w:val="001F6DF9"/>
    <w:rsid w:val="001F75FB"/>
    <w:rsid w:val="001F7BEE"/>
    <w:rsid w:val="00200AA0"/>
    <w:rsid w:val="00200E6E"/>
    <w:rsid w:val="00201100"/>
    <w:rsid w:val="002011A1"/>
    <w:rsid w:val="00201D70"/>
    <w:rsid w:val="002023A0"/>
    <w:rsid w:val="00202987"/>
    <w:rsid w:val="00203897"/>
    <w:rsid w:val="00203A65"/>
    <w:rsid w:val="002056CD"/>
    <w:rsid w:val="002063F7"/>
    <w:rsid w:val="0020669F"/>
    <w:rsid w:val="0020684F"/>
    <w:rsid w:val="00206E13"/>
    <w:rsid w:val="00206EF9"/>
    <w:rsid w:val="002073BE"/>
    <w:rsid w:val="002077AE"/>
    <w:rsid w:val="0020C25F"/>
    <w:rsid w:val="002104DE"/>
    <w:rsid w:val="0021064C"/>
    <w:rsid w:val="00210683"/>
    <w:rsid w:val="0021079A"/>
    <w:rsid w:val="00210E59"/>
    <w:rsid w:val="00210EF8"/>
    <w:rsid w:val="00211149"/>
    <w:rsid w:val="00211815"/>
    <w:rsid w:val="00211CB7"/>
    <w:rsid w:val="00212320"/>
    <w:rsid w:val="002129B0"/>
    <w:rsid w:val="00212B89"/>
    <w:rsid w:val="00213CEA"/>
    <w:rsid w:val="00214432"/>
    <w:rsid w:val="002146DC"/>
    <w:rsid w:val="0021524C"/>
    <w:rsid w:val="0021658F"/>
    <w:rsid w:val="0021676D"/>
    <w:rsid w:val="0021693F"/>
    <w:rsid w:val="00222D20"/>
    <w:rsid w:val="002230AF"/>
    <w:rsid w:val="00223741"/>
    <w:rsid w:val="00224824"/>
    <w:rsid w:val="00225045"/>
    <w:rsid w:val="00225ADA"/>
    <w:rsid w:val="00225C59"/>
    <w:rsid w:val="00226225"/>
    <w:rsid w:val="00227495"/>
    <w:rsid w:val="00227A02"/>
    <w:rsid w:val="00227A8E"/>
    <w:rsid w:val="00227B6B"/>
    <w:rsid w:val="00227E30"/>
    <w:rsid w:val="00230A3A"/>
    <w:rsid w:val="0023151D"/>
    <w:rsid w:val="00231C26"/>
    <w:rsid w:val="00232487"/>
    <w:rsid w:val="00232636"/>
    <w:rsid w:val="0023288D"/>
    <w:rsid w:val="00232B7A"/>
    <w:rsid w:val="00232EDE"/>
    <w:rsid w:val="00233036"/>
    <w:rsid w:val="00233056"/>
    <w:rsid w:val="00233862"/>
    <w:rsid w:val="00233A70"/>
    <w:rsid w:val="00233DC1"/>
    <w:rsid w:val="00234817"/>
    <w:rsid w:val="00234B0F"/>
    <w:rsid w:val="00235508"/>
    <w:rsid w:val="002367CC"/>
    <w:rsid w:val="00237C80"/>
    <w:rsid w:val="00237D73"/>
    <w:rsid w:val="00237FA1"/>
    <w:rsid w:val="0024028E"/>
    <w:rsid w:val="00240C1D"/>
    <w:rsid w:val="0024181A"/>
    <w:rsid w:val="00241E43"/>
    <w:rsid w:val="00242A68"/>
    <w:rsid w:val="002436CF"/>
    <w:rsid w:val="00243D69"/>
    <w:rsid w:val="002441B3"/>
    <w:rsid w:val="00244A22"/>
    <w:rsid w:val="00244F3E"/>
    <w:rsid w:val="002451B9"/>
    <w:rsid w:val="00245C11"/>
    <w:rsid w:val="00245CC9"/>
    <w:rsid w:val="002468A6"/>
    <w:rsid w:val="0024701E"/>
    <w:rsid w:val="0025018C"/>
    <w:rsid w:val="002507A0"/>
    <w:rsid w:val="00250990"/>
    <w:rsid w:val="00250A11"/>
    <w:rsid w:val="00251FED"/>
    <w:rsid w:val="0025200E"/>
    <w:rsid w:val="002520CC"/>
    <w:rsid w:val="002524B1"/>
    <w:rsid w:val="00252CDC"/>
    <w:rsid w:val="0025318A"/>
    <w:rsid w:val="002532F3"/>
    <w:rsid w:val="00253A32"/>
    <w:rsid w:val="00253E6D"/>
    <w:rsid w:val="002547EB"/>
    <w:rsid w:val="00254CEB"/>
    <w:rsid w:val="00255996"/>
    <w:rsid w:val="00255DB0"/>
    <w:rsid w:val="002562AD"/>
    <w:rsid w:val="00256692"/>
    <w:rsid w:val="00256CDF"/>
    <w:rsid w:val="00257863"/>
    <w:rsid w:val="00260A92"/>
    <w:rsid w:val="00260D9F"/>
    <w:rsid w:val="00261E41"/>
    <w:rsid w:val="00262853"/>
    <w:rsid w:val="00264663"/>
    <w:rsid w:val="002649E1"/>
    <w:rsid w:val="0026557A"/>
    <w:rsid w:val="0026583D"/>
    <w:rsid w:val="0026660B"/>
    <w:rsid w:val="00266ED7"/>
    <w:rsid w:val="002677E8"/>
    <w:rsid w:val="0027012B"/>
    <w:rsid w:val="00270C71"/>
    <w:rsid w:val="00270DA7"/>
    <w:rsid w:val="002716CA"/>
    <w:rsid w:val="002719F1"/>
    <w:rsid w:val="0027233E"/>
    <w:rsid w:val="0027234D"/>
    <w:rsid w:val="0027253E"/>
    <w:rsid w:val="00272551"/>
    <w:rsid w:val="002726C1"/>
    <w:rsid w:val="00274328"/>
    <w:rsid w:val="00274E51"/>
    <w:rsid w:val="00275AAE"/>
    <w:rsid w:val="00275F6E"/>
    <w:rsid w:val="00276658"/>
    <w:rsid w:val="002775DA"/>
    <w:rsid w:val="00277E4B"/>
    <w:rsid w:val="002801CE"/>
    <w:rsid w:val="00280593"/>
    <w:rsid w:val="0028120E"/>
    <w:rsid w:val="00281594"/>
    <w:rsid w:val="002818A7"/>
    <w:rsid w:val="00281CB0"/>
    <w:rsid w:val="00282E9C"/>
    <w:rsid w:val="00282F76"/>
    <w:rsid w:val="0028302E"/>
    <w:rsid w:val="002831D1"/>
    <w:rsid w:val="002843AC"/>
    <w:rsid w:val="00284D50"/>
    <w:rsid w:val="00284FA5"/>
    <w:rsid w:val="00285460"/>
    <w:rsid w:val="00285A1F"/>
    <w:rsid w:val="00287177"/>
    <w:rsid w:val="0028721A"/>
    <w:rsid w:val="00287544"/>
    <w:rsid w:val="00287A14"/>
    <w:rsid w:val="00287A48"/>
    <w:rsid w:val="00287B5B"/>
    <w:rsid w:val="00287FED"/>
    <w:rsid w:val="0029140B"/>
    <w:rsid w:val="00291A2A"/>
    <w:rsid w:val="002921B4"/>
    <w:rsid w:val="00292579"/>
    <w:rsid w:val="0029333C"/>
    <w:rsid w:val="0029342D"/>
    <w:rsid w:val="00293E00"/>
    <w:rsid w:val="00294119"/>
    <w:rsid w:val="00294822"/>
    <w:rsid w:val="00294C9E"/>
    <w:rsid w:val="002950EF"/>
    <w:rsid w:val="002951A8"/>
    <w:rsid w:val="00295863"/>
    <w:rsid w:val="00296B63"/>
    <w:rsid w:val="00296FCF"/>
    <w:rsid w:val="002970B0"/>
    <w:rsid w:val="0029733D"/>
    <w:rsid w:val="0029733F"/>
    <w:rsid w:val="002977AD"/>
    <w:rsid w:val="00297D1F"/>
    <w:rsid w:val="002A00F8"/>
    <w:rsid w:val="002A049F"/>
    <w:rsid w:val="002A0774"/>
    <w:rsid w:val="002A0AC3"/>
    <w:rsid w:val="002A1D59"/>
    <w:rsid w:val="002A213A"/>
    <w:rsid w:val="002A3493"/>
    <w:rsid w:val="002A3AB9"/>
    <w:rsid w:val="002A45B3"/>
    <w:rsid w:val="002A4AB7"/>
    <w:rsid w:val="002A4CDA"/>
    <w:rsid w:val="002A5B89"/>
    <w:rsid w:val="002A64BA"/>
    <w:rsid w:val="002A6DFE"/>
    <w:rsid w:val="002A754A"/>
    <w:rsid w:val="002B1241"/>
    <w:rsid w:val="002B1918"/>
    <w:rsid w:val="002B228A"/>
    <w:rsid w:val="002B294E"/>
    <w:rsid w:val="002B3878"/>
    <w:rsid w:val="002B3BBA"/>
    <w:rsid w:val="002B3E8D"/>
    <w:rsid w:val="002B49DB"/>
    <w:rsid w:val="002B503A"/>
    <w:rsid w:val="002B57E2"/>
    <w:rsid w:val="002B5B04"/>
    <w:rsid w:val="002B668A"/>
    <w:rsid w:val="002B6764"/>
    <w:rsid w:val="002B67C1"/>
    <w:rsid w:val="002B71ED"/>
    <w:rsid w:val="002B7914"/>
    <w:rsid w:val="002B7D72"/>
    <w:rsid w:val="002C052C"/>
    <w:rsid w:val="002C0940"/>
    <w:rsid w:val="002C102C"/>
    <w:rsid w:val="002C11E2"/>
    <w:rsid w:val="002C1BCC"/>
    <w:rsid w:val="002C2483"/>
    <w:rsid w:val="002C425A"/>
    <w:rsid w:val="002C4C4B"/>
    <w:rsid w:val="002C5B7B"/>
    <w:rsid w:val="002C5B80"/>
    <w:rsid w:val="002C5EAD"/>
    <w:rsid w:val="002C60DF"/>
    <w:rsid w:val="002C6518"/>
    <w:rsid w:val="002C6C42"/>
    <w:rsid w:val="002C6C9D"/>
    <w:rsid w:val="002C6E73"/>
    <w:rsid w:val="002C7326"/>
    <w:rsid w:val="002D0973"/>
    <w:rsid w:val="002D16ED"/>
    <w:rsid w:val="002D1EDA"/>
    <w:rsid w:val="002D1F7F"/>
    <w:rsid w:val="002D20E1"/>
    <w:rsid w:val="002D25AA"/>
    <w:rsid w:val="002D27D9"/>
    <w:rsid w:val="002D2F1F"/>
    <w:rsid w:val="002D386C"/>
    <w:rsid w:val="002D38AF"/>
    <w:rsid w:val="002D3993"/>
    <w:rsid w:val="002D3EF0"/>
    <w:rsid w:val="002D4315"/>
    <w:rsid w:val="002D444C"/>
    <w:rsid w:val="002D5173"/>
    <w:rsid w:val="002D586D"/>
    <w:rsid w:val="002D588E"/>
    <w:rsid w:val="002D5926"/>
    <w:rsid w:val="002D5F9C"/>
    <w:rsid w:val="002D6847"/>
    <w:rsid w:val="002D6DCD"/>
    <w:rsid w:val="002D7D44"/>
    <w:rsid w:val="002E018D"/>
    <w:rsid w:val="002E0B05"/>
    <w:rsid w:val="002E0EB2"/>
    <w:rsid w:val="002E1337"/>
    <w:rsid w:val="002E1AD5"/>
    <w:rsid w:val="002E1E0B"/>
    <w:rsid w:val="002E1FDE"/>
    <w:rsid w:val="002E21B7"/>
    <w:rsid w:val="002E2ABD"/>
    <w:rsid w:val="002E36B6"/>
    <w:rsid w:val="002E373D"/>
    <w:rsid w:val="002E3CCD"/>
    <w:rsid w:val="002E3D68"/>
    <w:rsid w:val="002E3E05"/>
    <w:rsid w:val="002E4143"/>
    <w:rsid w:val="002E4738"/>
    <w:rsid w:val="002E5017"/>
    <w:rsid w:val="002E5A68"/>
    <w:rsid w:val="002E5ADC"/>
    <w:rsid w:val="002E6466"/>
    <w:rsid w:val="002E64F2"/>
    <w:rsid w:val="002E7332"/>
    <w:rsid w:val="002E7B7C"/>
    <w:rsid w:val="002E7CD8"/>
    <w:rsid w:val="002E7FDD"/>
    <w:rsid w:val="002F04F5"/>
    <w:rsid w:val="002F117C"/>
    <w:rsid w:val="002F1211"/>
    <w:rsid w:val="002F134D"/>
    <w:rsid w:val="002F1C48"/>
    <w:rsid w:val="002F2181"/>
    <w:rsid w:val="002F21DD"/>
    <w:rsid w:val="002F2660"/>
    <w:rsid w:val="002F3635"/>
    <w:rsid w:val="002F3CC3"/>
    <w:rsid w:val="002F4354"/>
    <w:rsid w:val="002F5E2B"/>
    <w:rsid w:val="002F6161"/>
    <w:rsid w:val="002F62E2"/>
    <w:rsid w:val="002F6A48"/>
    <w:rsid w:val="002F6F15"/>
    <w:rsid w:val="002F7771"/>
    <w:rsid w:val="002F79B1"/>
    <w:rsid w:val="00300C78"/>
    <w:rsid w:val="00301239"/>
    <w:rsid w:val="003012F9"/>
    <w:rsid w:val="0030130E"/>
    <w:rsid w:val="00301F89"/>
    <w:rsid w:val="003023B6"/>
    <w:rsid w:val="0030280A"/>
    <w:rsid w:val="00302C27"/>
    <w:rsid w:val="0030333C"/>
    <w:rsid w:val="00303577"/>
    <w:rsid w:val="0030366A"/>
    <w:rsid w:val="00303D05"/>
    <w:rsid w:val="0030407F"/>
    <w:rsid w:val="003043C2"/>
    <w:rsid w:val="00304CEC"/>
    <w:rsid w:val="00305E10"/>
    <w:rsid w:val="00306892"/>
    <w:rsid w:val="00306A83"/>
    <w:rsid w:val="00307C36"/>
    <w:rsid w:val="00310380"/>
    <w:rsid w:val="003112F3"/>
    <w:rsid w:val="00311481"/>
    <w:rsid w:val="00311491"/>
    <w:rsid w:val="003115FD"/>
    <w:rsid w:val="00311F28"/>
    <w:rsid w:val="00312964"/>
    <w:rsid w:val="00312FCA"/>
    <w:rsid w:val="00313554"/>
    <w:rsid w:val="00313988"/>
    <w:rsid w:val="00313EBC"/>
    <w:rsid w:val="00314793"/>
    <w:rsid w:val="00315255"/>
    <w:rsid w:val="00315719"/>
    <w:rsid w:val="00317572"/>
    <w:rsid w:val="003175D7"/>
    <w:rsid w:val="003177DF"/>
    <w:rsid w:val="00317C87"/>
    <w:rsid w:val="00317EDA"/>
    <w:rsid w:val="00320FB3"/>
    <w:rsid w:val="00322E6C"/>
    <w:rsid w:val="003230C6"/>
    <w:rsid w:val="00323421"/>
    <w:rsid w:val="0032345E"/>
    <w:rsid w:val="00324199"/>
    <w:rsid w:val="0032421C"/>
    <w:rsid w:val="00324536"/>
    <w:rsid w:val="0032477F"/>
    <w:rsid w:val="00325284"/>
    <w:rsid w:val="00325E0D"/>
    <w:rsid w:val="003265B3"/>
    <w:rsid w:val="003269A8"/>
    <w:rsid w:val="00327063"/>
    <w:rsid w:val="00327777"/>
    <w:rsid w:val="00330589"/>
    <w:rsid w:val="00330763"/>
    <w:rsid w:val="00330A46"/>
    <w:rsid w:val="00332C38"/>
    <w:rsid w:val="00333E35"/>
    <w:rsid w:val="003341CB"/>
    <w:rsid w:val="003343A3"/>
    <w:rsid w:val="003343DA"/>
    <w:rsid w:val="00334403"/>
    <w:rsid w:val="00334553"/>
    <w:rsid w:val="003345B8"/>
    <w:rsid w:val="00334FC5"/>
    <w:rsid w:val="003351C0"/>
    <w:rsid w:val="0033567D"/>
    <w:rsid w:val="00335A0F"/>
    <w:rsid w:val="003362DC"/>
    <w:rsid w:val="0033632F"/>
    <w:rsid w:val="003368EC"/>
    <w:rsid w:val="003369AB"/>
    <w:rsid w:val="0034080D"/>
    <w:rsid w:val="00340C72"/>
    <w:rsid w:val="00341606"/>
    <w:rsid w:val="003422FC"/>
    <w:rsid w:val="003425F0"/>
    <w:rsid w:val="00342EEA"/>
    <w:rsid w:val="00343E67"/>
    <w:rsid w:val="00344269"/>
    <w:rsid w:val="0034431A"/>
    <w:rsid w:val="00344FF0"/>
    <w:rsid w:val="00345269"/>
    <w:rsid w:val="0034556B"/>
    <w:rsid w:val="0034597E"/>
    <w:rsid w:val="00345D9D"/>
    <w:rsid w:val="003462F7"/>
    <w:rsid w:val="0034649A"/>
    <w:rsid w:val="003466D0"/>
    <w:rsid w:val="003467E5"/>
    <w:rsid w:val="00346D2C"/>
    <w:rsid w:val="00347806"/>
    <w:rsid w:val="00347CC0"/>
    <w:rsid w:val="00347DDF"/>
    <w:rsid w:val="0035066A"/>
    <w:rsid w:val="003506EA"/>
    <w:rsid w:val="00350B8D"/>
    <w:rsid w:val="00350EDC"/>
    <w:rsid w:val="00350FB5"/>
    <w:rsid w:val="00350FC3"/>
    <w:rsid w:val="003518C8"/>
    <w:rsid w:val="00352D86"/>
    <w:rsid w:val="00353015"/>
    <w:rsid w:val="003531A4"/>
    <w:rsid w:val="00353BF9"/>
    <w:rsid w:val="00353CB2"/>
    <w:rsid w:val="00353E80"/>
    <w:rsid w:val="00353EBA"/>
    <w:rsid w:val="00354328"/>
    <w:rsid w:val="00355759"/>
    <w:rsid w:val="003562E8"/>
    <w:rsid w:val="0035713C"/>
    <w:rsid w:val="0035721F"/>
    <w:rsid w:val="00357552"/>
    <w:rsid w:val="003575BF"/>
    <w:rsid w:val="00357B20"/>
    <w:rsid w:val="00357DD3"/>
    <w:rsid w:val="0036051F"/>
    <w:rsid w:val="00360994"/>
    <w:rsid w:val="00360AD2"/>
    <w:rsid w:val="0036160F"/>
    <w:rsid w:val="00362E84"/>
    <w:rsid w:val="0036428F"/>
    <w:rsid w:val="0036496A"/>
    <w:rsid w:val="00365595"/>
    <w:rsid w:val="0036590A"/>
    <w:rsid w:val="00366BD1"/>
    <w:rsid w:val="00367883"/>
    <w:rsid w:val="00367E93"/>
    <w:rsid w:val="00370967"/>
    <w:rsid w:val="00370C33"/>
    <w:rsid w:val="003723F8"/>
    <w:rsid w:val="00372757"/>
    <w:rsid w:val="0037294C"/>
    <w:rsid w:val="00372A8B"/>
    <w:rsid w:val="003733CD"/>
    <w:rsid w:val="00374113"/>
    <w:rsid w:val="00374640"/>
    <w:rsid w:val="00374BD6"/>
    <w:rsid w:val="00375A3A"/>
    <w:rsid w:val="003771FD"/>
    <w:rsid w:val="0037749A"/>
    <w:rsid w:val="003804F6"/>
    <w:rsid w:val="003808CB"/>
    <w:rsid w:val="00380F20"/>
    <w:rsid w:val="003811C0"/>
    <w:rsid w:val="0038154E"/>
    <w:rsid w:val="003817A1"/>
    <w:rsid w:val="0038218E"/>
    <w:rsid w:val="00382904"/>
    <w:rsid w:val="003829E7"/>
    <w:rsid w:val="003834DE"/>
    <w:rsid w:val="00383873"/>
    <w:rsid w:val="00384BE3"/>
    <w:rsid w:val="00384F34"/>
    <w:rsid w:val="00384FD4"/>
    <w:rsid w:val="00384FFB"/>
    <w:rsid w:val="00385CB0"/>
    <w:rsid w:val="0038614B"/>
    <w:rsid w:val="003869AA"/>
    <w:rsid w:val="00387298"/>
    <w:rsid w:val="0038E1FE"/>
    <w:rsid w:val="003903C9"/>
    <w:rsid w:val="00390953"/>
    <w:rsid w:val="00391919"/>
    <w:rsid w:val="00391F91"/>
    <w:rsid w:val="003932A2"/>
    <w:rsid w:val="003939E8"/>
    <w:rsid w:val="003940B1"/>
    <w:rsid w:val="00394651"/>
    <w:rsid w:val="00394B3F"/>
    <w:rsid w:val="003959F9"/>
    <w:rsid w:val="00395ED9"/>
    <w:rsid w:val="0039603E"/>
    <w:rsid w:val="003960A7"/>
    <w:rsid w:val="003969E2"/>
    <w:rsid w:val="00396A7A"/>
    <w:rsid w:val="00397C7E"/>
    <w:rsid w:val="003A0255"/>
    <w:rsid w:val="003A0677"/>
    <w:rsid w:val="003A074F"/>
    <w:rsid w:val="003A0808"/>
    <w:rsid w:val="003A0B17"/>
    <w:rsid w:val="003A0E0A"/>
    <w:rsid w:val="003A0E5F"/>
    <w:rsid w:val="003A2277"/>
    <w:rsid w:val="003A2578"/>
    <w:rsid w:val="003A3259"/>
    <w:rsid w:val="003A34D9"/>
    <w:rsid w:val="003A37E1"/>
    <w:rsid w:val="003A3DAE"/>
    <w:rsid w:val="003A3E7B"/>
    <w:rsid w:val="003A3F3F"/>
    <w:rsid w:val="003A45FF"/>
    <w:rsid w:val="003A4D77"/>
    <w:rsid w:val="003A4FFD"/>
    <w:rsid w:val="003A544E"/>
    <w:rsid w:val="003A54CC"/>
    <w:rsid w:val="003A5551"/>
    <w:rsid w:val="003A5587"/>
    <w:rsid w:val="003A5846"/>
    <w:rsid w:val="003A5952"/>
    <w:rsid w:val="003A68D8"/>
    <w:rsid w:val="003A6BF0"/>
    <w:rsid w:val="003A6D59"/>
    <w:rsid w:val="003A78FD"/>
    <w:rsid w:val="003B0C6A"/>
    <w:rsid w:val="003B1DA3"/>
    <w:rsid w:val="003B26FD"/>
    <w:rsid w:val="003B28D9"/>
    <w:rsid w:val="003B293A"/>
    <w:rsid w:val="003B2E05"/>
    <w:rsid w:val="003B31D2"/>
    <w:rsid w:val="003B39E1"/>
    <w:rsid w:val="003B3B66"/>
    <w:rsid w:val="003B4C39"/>
    <w:rsid w:val="003B5367"/>
    <w:rsid w:val="003B5986"/>
    <w:rsid w:val="003B64D3"/>
    <w:rsid w:val="003B6CA5"/>
    <w:rsid w:val="003B7B8D"/>
    <w:rsid w:val="003B7BB6"/>
    <w:rsid w:val="003B7E6E"/>
    <w:rsid w:val="003C0080"/>
    <w:rsid w:val="003C0123"/>
    <w:rsid w:val="003C044A"/>
    <w:rsid w:val="003C0EA0"/>
    <w:rsid w:val="003C1956"/>
    <w:rsid w:val="003C1BBE"/>
    <w:rsid w:val="003C2468"/>
    <w:rsid w:val="003C2BDC"/>
    <w:rsid w:val="003C2C16"/>
    <w:rsid w:val="003C2C4D"/>
    <w:rsid w:val="003C3043"/>
    <w:rsid w:val="003C426F"/>
    <w:rsid w:val="003C42AA"/>
    <w:rsid w:val="003C4C31"/>
    <w:rsid w:val="003C4F72"/>
    <w:rsid w:val="003C5084"/>
    <w:rsid w:val="003C55A2"/>
    <w:rsid w:val="003C5D6F"/>
    <w:rsid w:val="003C62F1"/>
    <w:rsid w:val="003C687F"/>
    <w:rsid w:val="003C76CA"/>
    <w:rsid w:val="003D063C"/>
    <w:rsid w:val="003D06C3"/>
    <w:rsid w:val="003D1263"/>
    <w:rsid w:val="003D1521"/>
    <w:rsid w:val="003D3696"/>
    <w:rsid w:val="003D3757"/>
    <w:rsid w:val="003D3A52"/>
    <w:rsid w:val="003D566E"/>
    <w:rsid w:val="003D5F50"/>
    <w:rsid w:val="003D6B89"/>
    <w:rsid w:val="003D788F"/>
    <w:rsid w:val="003D7BA1"/>
    <w:rsid w:val="003E0102"/>
    <w:rsid w:val="003E0553"/>
    <w:rsid w:val="003E05C9"/>
    <w:rsid w:val="003E060B"/>
    <w:rsid w:val="003E0AEE"/>
    <w:rsid w:val="003E117D"/>
    <w:rsid w:val="003E1263"/>
    <w:rsid w:val="003E13B8"/>
    <w:rsid w:val="003E1CFA"/>
    <w:rsid w:val="003E2744"/>
    <w:rsid w:val="003E2C1F"/>
    <w:rsid w:val="003E2D80"/>
    <w:rsid w:val="003E3387"/>
    <w:rsid w:val="003E377B"/>
    <w:rsid w:val="003E3DB5"/>
    <w:rsid w:val="003E43AC"/>
    <w:rsid w:val="003E43D7"/>
    <w:rsid w:val="003E46E1"/>
    <w:rsid w:val="003E4F2E"/>
    <w:rsid w:val="003E509B"/>
    <w:rsid w:val="003E5456"/>
    <w:rsid w:val="003E576F"/>
    <w:rsid w:val="003E587D"/>
    <w:rsid w:val="003E649B"/>
    <w:rsid w:val="003E6503"/>
    <w:rsid w:val="003E73C6"/>
    <w:rsid w:val="003E7BDF"/>
    <w:rsid w:val="003E7E64"/>
    <w:rsid w:val="003E7E95"/>
    <w:rsid w:val="003F07F6"/>
    <w:rsid w:val="003F0D96"/>
    <w:rsid w:val="003F11FD"/>
    <w:rsid w:val="003F1BF1"/>
    <w:rsid w:val="003F20AE"/>
    <w:rsid w:val="003F2644"/>
    <w:rsid w:val="003F2DB2"/>
    <w:rsid w:val="003F2EE3"/>
    <w:rsid w:val="003F3E1F"/>
    <w:rsid w:val="003F3E9A"/>
    <w:rsid w:val="003F4203"/>
    <w:rsid w:val="003F4A26"/>
    <w:rsid w:val="003F5A60"/>
    <w:rsid w:val="003F6421"/>
    <w:rsid w:val="003F72A9"/>
    <w:rsid w:val="003F75D9"/>
    <w:rsid w:val="003F790E"/>
    <w:rsid w:val="003F7C57"/>
    <w:rsid w:val="003F7D58"/>
    <w:rsid w:val="00400228"/>
    <w:rsid w:val="00400895"/>
    <w:rsid w:val="00400D9B"/>
    <w:rsid w:val="00401264"/>
    <w:rsid w:val="0040144B"/>
    <w:rsid w:val="00401D83"/>
    <w:rsid w:val="00403ACB"/>
    <w:rsid w:val="004040C0"/>
    <w:rsid w:val="004042B2"/>
    <w:rsid w:val="00404471"/>
    <w:rsid w:val="00404E1B"/>
    <w:rsid w:val="004050C2"/>
    <w:rsid w:val="004059D7"/>
    <w:rsid w:val="004059DA"/>
    <w:rsid w:val="004059E3"/>
    <w:rsid w:val="00405AC3"/>
    <w:rsid w:val="00405C31"/>
    <w:rsid w:val="004064D4"/>
    <w:rsid w:val="004072E1"/>
    <w:rsid w:val="00410586"/>
    <w:rsid w:val="00411035"/>
    <w:rsid w:val="004110A6"/>
    <w:rsid w:val="004113FA"/>
    <w:rsid w:val="0041193C"/>
    <w:rsid w:val="00411A7F"/>
    <w:rsid w:val="00412253"/>
    <w:rsid w:val="0041253D"/>
    <w:rsid w:val="00412C11"/>
    <w:rsid w:val="00413090"/>
    <w:rsid w:val="004135FB"/>
    <w:rsid w:val="00413F6D"/>
    <w:rsid w:val="00415167"/>
    <w:rsid w:val="0041553D"/>
    <w:rsid w:val="00416EFF"/>
    <w:rsid w:val="0041729E"/>
    <w:rsid w:val="00420D01"/>
    <w:rsid w:val="00420EE8"/>
    <w:rsid w:val="004217F0"/>
    <w:rsid w:val="00421934"/>
    <w:rsid w:val="00422421"/>
    <w:rsid w:val="00422439"/>
    <w:rsid w:val="00422C7C"/>
    <w:rsid w:val="00423181"/>
    <w:rsid w:val="004232EF"/>
    <w:rsid w:val="00423527"/>
    <w:rsid w:val="00423AEB"/>
    <w:rsid w:val="00423B1D"/>
    <w:rsid w:val="00423C81"/>
    <w:rsid w:val="0042441E"/>
    <w:rsid w:val="0042469C"/>
    <w:rsid w:val="004246ED"/>
    <w:rsid w:val="004248C4"/>
    <w:rsid w:val="00424AAF"/>
    <w:rsid w:val="00424AD2"/>
    <w:rsid w:val="00425997"/>
    <w:rsid w:val="00425BD8"/>
    <w:rsid w:val="00425E75"/>
    <w:rsid w:val="00426456"/>
    <w:rsid w:val="00427050"/>
    <w:rsid w:val="00427B24"/>
    <w:rsid w:val="00427F02"/>
    <w:rsid w:val="00430144"/>
    <w:rsid w:val="004312DC"/>
    <w:rsid w:val="004313C7"/>
    <w:rsid w:val="00431C64"/>
    <w:rsid w:val="00431D41"/>
    <w:rsid w:val="00431DE4"/>
    <w:rsid w:val="00432A76"/>
    <w:rsid w:val="00432F38"/>
    <w:rsid w:val="0043353D"/>
    <w:rsid w:val="00433657"/>
    <w:rsid w:val="00433B93"/>
    <w:rsid w:val="00433E98"/>
    <w:rsid w:val="00434261"/>
    <w:rsid w:val="004347E4"/>
    <w:rsid w:val="00434E7C"/>
    <w:rsid w:val="004355F5"/>
    <w:rsid w:val="0043564F"/>
    <w:rsid w:val="00436853"/>
    <w:rsid w:val="00436D65"/>
    <w:rsid w:val="00437012"/>
    <w:rsid w:val="00437FFC"/>
    <w:rsid w:val="00440912"/>
    <w:rsid w:val="00441227"/>
    <w:rsid w:val="004419FE"/>
    <w:rsid w:val="00441E4A"/>
    <w:rsid w:val="004426CD"/>
    <w:rsid w:val="00442BC9"/>
    <w:rsid w:val="00442C8B"/>
    <w:rsid w:val="004434F4"/>
    <w:rsid w:val="004435EE"/>
    <w:rsid w:val="0044406D"/>
    <w:rsid w:val="004440FD"/>
    <w:rsid w:val="00444129"/>
    <w:rsid w:val="004443CF"/>
    <w:rsid w:val="00444EA4"/>
    <w:rsid w:val="0044500D"/>
    <w:rsid w:val="00445484"/>
    <w:rsid w:val="004454E6"/>
    <w:rsid w:val="00445622"/>
    <w:rsid w:val="004457D1"/>
    <w:rsid w:val="00445BE5"/>
    <w:rsid w:val="0044605B"/>
    <w:rsid w:val="00446063"/>
    <w:rsid w:val="004472CF"/>
    <w:rsid w:val="0044744F"/>
    <w:rsid w:val="00447572"/>
    <w:rsid w:val="00447C29"/>
    <w:rsid w:val="00450015"/>
    <w:rsid w:val="00450309"/>
    <w:rsid w:val="0045051A"/>
    <w:rsid w:val="00450C5A"/>
    <w:rsid w:val="004511A3"/>
    <w:rsid w:val="00451876"/>
    <w:rsid w:val="00451889"/>
    <w:rsid w:val="00452D71"/>
    <w:rsid w:val="00453911"/>
    <w:rsid w:val="00453999"/>
    <w:rsid w:val="00454091"/>
    <w:rsid w:val="00454795"/>
    <w:rsid w:val="0045492A"/>
    <w:rsid w:val="00454BCF"/>
    <w:rsid w:val="004553E3"/>
    <w:rsid w:val="004556B8"/>
    <w:rsid w:val="0045623D"/>
    <w:rsid w:val="004563E6"/>
    <w:rsid w:val="0045646F"/>
    <w:rsid w:val="0045662E"/>
    <w:rsid w:val="00456A16"/>
    <w:rsid w:val="00456F2E"/>
    <w:rsid w:val="0045715F"/>
    <w:rsid w:val="00457556"/>
    <w:rsid w:val="00457F45"/>
    <w:rsid w:val="0046033B"/>
    <w:rsid w:val="0046133B"/>
    <w:rsid w:val="00461563"/>
    <w:rsid w:val="004616CB"/>
    <w:rsid w:val="00461A69"/>
    <w:rsid w:val="00461A81"/>
    <w:rsid w:val="00461B4B"/>
    <w:rsid w:val="0046205C"/>
    <w:rsid w:val="0046266D"/>
    <w:rsid w:val="00462F04"/>
    <w:rsid w:val="004630F7"/>
    <w:rsid w:val="004640FB"/>
    <w:rsid w:val="0046474D"/>
    <w:rsid w:val="00464A64"/>
    <w:rsid w:val="004650C0"/>
    <w:rsid w:val="004651D8"/>
    <w:rsid w:val="00465B62"/>
    <w:rsid w:val="004668D0"/>
    <w:rsid w:val="004669AE"/>
    <w:rsid w:val="00466D60"/>
    <w:rsid w:val="00467320"/>
    <w:rsid w:val="004673C0"/>
    <w:rsid w:val="00467A68"/>
    <w:rsid w:val="00467B50"/>
    <w:rsid w:val="00467DBB"/>
    <w:rsid w:val="00467DFE"/>
    <w:rsid w:val="0047064D"/>
    <w:rsid w:val="004712BE"/>
    <w:rsid w:val="00471A26"/>
    <w:rsid w:val="00471A6E"/>
    <w:rsid w:val="00471ACD"/>
    <w:rsid w:val="00471D49"/>
    <w:rsid w:val="004723C5"/>
    <w:rsid w:val="0047284D"/>
    <w:rsid w:val="00472E54"/>
    <w:rsid w:val="004734C5"/>
    <w:rsid w:val="0047365A"/>
    <w:rsid w:val="00473DAB"/>
    <w:rsid w:val="00474F2B"/>
    <w:rsid w:val="00475F5B"/>
    <w:rsid w:val="0047660F"/>
    <w:rsid w:val="00476CEE"/>
    <w:rsid w:val="004777C6"/>
    <w:rsid w:val="00477823"/>
    <w:rsid w:val="00480490"/>
    <w:rsid w:val="0048076F"/>
    <w:rsid w:val="004811C6"/>
    <w:rsid w:val="004817C2"/>
    <w:rsid w:val="0048242B"/>
    <w:rsid w:val="00482835"/>
    <w:rsid w:val="00482EA0"/>
    <w:rsid w:val="00483BAF"/>
    <w:rsid w:val="00483BE9"/>
    <w:rsid w:val="00483D6D"/>
    <w:rsid w:val="00484056"/>
    <w:rsid w:val="004843EE"/>
    <w:rsid w:val="0048458E"/>
    <w:rsid w:val="00484B29"/>
    <w:rsid w:val="00484B57"/>
    <w:rsid w:val="0048549C"/>
    <w:rsid w:val="00486056"/>
    <w:rsid w:val="004876D0"/>
    <w:rsid w:val="004876F5"/>
    <w:rsid w:val="004902C0"/>
    <w:rsid w:val="00490775"/>
    <w:rsid w:val="004908A9"/>
    <w:rsid w:val="00490A58"/>
    <w:rsid w:val="00491B12"/>
    <w:rsid w:val="00491FDD"/>
    <w:rsid w:val="0049204D"/>
    <w:rsid w:val="0049232F"/>
    <w:rsid w:val="00492832"/>
    <w:rsid w:val="00492B8B"/>
    <w:rsid w:val="004930D4"/>
    <w:rsid w:val="00493350"/>
    <w:rsid w:val="00493AA8"/>
    <w:rsid w:val="00493F14"/>
    <w:rsid w:val="00493F84"/>
    <w:rsid w:val="00494B0D"/>
    <w:rsid w:val="00494BE1"/>
    <w:rsid w:val="00494E6B"/>
    <w:rsid w:val="00494F15"/>
    <w:rsid w:val="004952C8"/>
    <w:rsid w:val="00495477"/>
    <w:rsid w:val="00495E37"/>
    <w:rsid w:val="00496A88"/>
    <w:rsid w:val="00497284"/>
    <w:rsid w:val="004974C8"/>
    <w:rsid w:val="00497950"/>
    <w:rsid w:val="004A0C82"/>
    <w:rsid w:val="004A0F74"/>
    <w:rsid w:val="004A1E10"/>
    <w:rsid w:val="004A2528"/>
    <w:rsid w:val="004A2775"/>
    <w:rsid w:val="004A2C02"/>
    <w:rsid w:val="004A349D"/>
    <w:rsid w:val="004A3FC6"/>
    <w:rsid w:val="004A437F"/>
    <w:rsid w:val="004A44B7"/>
    <w:rsid w:val="004A48D9"/>
    <w:rsid w:val="004A5AEB"/>
    <w:rsid w:val="004A5D4D"/>
    <w:rsid w:val="004A68FB"/>
    <w:rsid w:val="004A6C72"/>
    <w:rsid w:val="004A7007"/>
    <w:rsid w:val="004A7165"/>
    <w:rsid w:val="004A76D0"/>
    <w:rsid w:val="004B184A"/>
    <w:rsid w:val="004B29D7"/>
    <w:rsid w:val="004B37F6"/>
    <w:rsid w:val="004B38E1"/>
    <w:rsid w:val="004B3CE0"/>
    <w:rsid w:val="004B4188"/>
    <w:rsid w:val="004B4244"/>
    <w:rsid w:val="004B50C0"/>
    <w:rsid w:val="004B58E0"/>
    <w:rsid w:val="004B5A3B"/>
    <w:rsid w:val="004B5B8B"/>
    <w:rsid w:val="004B6A40"/>
    <w:rsid w:val="004B6E03"/>
    <w:rsid w:val="004B70E8"/>
    <w:rsid w:val="004B7457"/>
    <w:rsid w:val="004C01D7"/>
    <w:rsid w:val="004C07CE"/>
    <w:rsid w:val="004C0857"/>
    <w:rsid w:val="004C08C0"/>
    <w:rsid w:val="004C0AE2"/>
    <w:rsid w:val="004C0DAC"/>
    <w:rsid w:val="004C0F42"/>
    <w:rsid w:val="004C1258"/>
    <w:rsid w:val="004C1891"/>
    <w:rsid w:val="004C1C9C"/>
    <w:rsid w:val="004C26C4"/>
    <w:rsid w:val="004C288D"/>
    <w:rsid w:val="004C3583"/>
    <w:rsid w:val="004C47BC"/>
    <w:rsid w:val="004C4D82"/>
    <w:rsid w:val="004C5E2F"/>
    <w:rsid w:val="004C6D9D"/>
    <w:rsid w:val="004C7192"/>
    <w:rsid w:val="004C7821"/>
    <w:rsid w:val="004C78D9"/>
    <w:rsid w:val="004C7FBB"/>
    <w:rsid w:val="004D0444"/>
    <w:rsid w:val="004D047F"/>
    <w:rsid w:val="004D093A"/>
    <w:rsid w:val="004D1A57"/>
    <w:rsid w:val="004D1B51"/>
    <w:rsid w:val="004D1C10"/>
    <w:rsid w:val="004D1E5E"/>
    <w:rsid w:val="004D2C7E"/>
    <w:rsid w:val="004D3047"/>
    <w:rsid w:val="004D3722"/>
    <w:rsid w:val="004D455F"/>
    <w:rsid w:val="004D4795"/>
    <w:rsid w:val="004D4ECF"/>
    <w:rsid w:val="004D515A"/>
    <w:rsid w:val="004D51C5"/>
    <w:rsid w:val="004D6A06"/>
    <w:rsid w:val="004D746E"/>
    <w:rsid w:val="004D7A5A"/>
    <w:rsid w:val="004D7F12"/>
    <w:rsid w:val="004D7FA7"/>
    <w:rsid w:val="004E013C"/>
    <w:rsid w:val="004E0236"/>
    <w:rsid w:val="004E0FCE"/>
    <w:rsid w:val="004E19CA"/>
    <w:rsid w:val="004E1A0C"/>
    <w:rsid w:val="004E1A55"/>
    <w:rsid w:val="004E1C11"/>
    <w:rsid w:val="004E24CC"/>
    <w:rsid w:val="004E30C6"/>
    <w:rsid w:val="004E5667"/>
    <w:rsid w:val="004E58C2"/>
    <w:rsid w:val="004E5C93"/>
    <w:rsid w:val="004E6304"/>
    <w:rsid w:val="004E63D9"/>
    <w:rsid w:val="004E662E"/>
    <w:rsid w:val="004E6DB4"/>
    <w:rsid w:val="004E7064"/>
    <w:rsid w:val="004E7A86"/>
    <w:rsid w:val="004F015F"/>
    <w:rsid w:val="004F02B9"/>
    <w:rsid w:val="004F07FD"/>
    <w:rsid w:val="004F0F6F"/>
    <w:rsid w:val="004F11A0"/>
    <w:rsid w:val="004F15B9"/>
    <w:rsid w:val="004F16E6"/>
    <w:rsid w:val="004F1F32"/>
    <w:rsid w:val="004F2F7D"/>
    <w:rsid w:val="004F31CD"/>
    <w:rsid w:val="004F3351"/>
    <w:rsid w:val="004F3893"/>
    <w:rsid w:val="004F3DA4"/>
    <w:rsid w:val="004F4182"/>
    <w:rsid w:val="004F54D1"/>
    <w:rsid w:val="004F560B"/>
    <w:rsid w:val="004F5B9C"/>
    <w:rsid w:val="004F5DB8"/>
    <w:rsid w:val="004F613C"/>
    <w:rsid w:val="004F6E7E"/>
    <w:rsid w:val="00500410"/>
    <w:rsid w:val="005006D7"/>
    <w:rsid w:val="0050081B"/>
    <w:rsid w:val="00500EBA"/>
    <w:rsid w:val="00501737"/>
    <w:rsid w:val="0050242F"/>
    <w:rsid w:val="005027C6"/>
    <w:rsid w:val="005028F1"/>
    <w:rsid w:val="0050349F"/>
    <w:rsid w:val="00503657"/>
    <w:rsid w:val="00503944"/>
    <w:rsid w:val="00504963"/>
    <w:rsid w:val="00504A19"/>
    <w:rsid w:val="00504BE0"/>
    <w:rsid w:val="00505BE0"/>
    <w:rsid w:val="00506012"/>
    <w:rsid w:val="00506E70"/>
    <w:rsid w:val="00507287"/>
    <w:rsid w:val="005072CF"/>
    <w:rsid w:val="005078B2"/>
    <w:rsid w:val="00507A0F"/>
    <w:rsid w:val="00507E4C"/>
    <w:rsid w:val="005101BD"/>
    <w:rsid w:val="00510393"/>
    <w:rsid w:val="00510C1D"/>
    <w:rsid w:val="00510EC9"/>
    <w:rsid w:val="0051107B"/>
    <w:rsid w:val="0051125E"/>
    <w:rsid w:val="005113D1"/>
    <w:rsid w:val="00511905"/>
    <w:rsid w:val="00511CD4"/>
    <w:rsid w:val="005123E7"/>
    <w:rsid w:val="005128D7"/>
    <w:rsid w:val="00512B99"/>
    <w:rsid w:val="00513394"/>
    <w:rsid w:val="005143FD"/>
    <w:rsid w:val="00514F28"/>
    <w:rsid w:val="005153A2"/>
    <w:rsid w:val="00516422"/>
    <w:rsid w:val="00517029"/>
    <w:rsid w:val="00517113"/>
    <w:rsid w:val="0051714E"/>
    <w:rsid w:val="00517347"/>
    <w:rsid w:val="00520071"/>
    <w:rsid w:val="00520627"/>
    <w:rsid w:val="00520914"/>
    <w:rsid w:val="00520CBE"/>
    <w:rsid w:val="0052105A"/>
    <w:rsid w:val="0052197D"/>
    <w:rsid w:val="00521CA0"/>
    <w:rsid w:val="005228EB"/>
    <w:rsid w:val="0052294D"/>
    <w:rsid w:val="00522D20"/>
    <w:rsid w:val="0052312E"/>
    <w:rsid w:val="005233CF"/>
    <w:rsid w:val="00523845"/>
    <w:rsid w:val="00523C4C"/>
    <w:rsid w:val="005241FB"/>
    <w:rsid w:val="005243A5"/>
    <w:rsid w:val="0052514C"/>
    <w:rsid w:val="00525353"/>
    <w:rsid w:val="005261CB"/>
    <w:rsid w:val="00526564"/>
    <w:rsid w:val="00526741"/>
    <w:rsid w:val="00526981"/>
    <w:rsid w:val="0052775A"/>
    <w:rsid w:val="00527D86"/>
    <w:rsid w:val="00530FBE"/>
    <w:rsid w:val="00531B64"/>
    <w:rsid w:val="00532432"/>
    <w:rsid w:val="005334F9"/>
    <w:rsid w:val="005336B9"/>
    <w:rsid w:val="00533762"/>
    <w:rsid w:val="00533D77"/>
    <w:rsid w:val="00534187"/>
    <w:rsid w:val="0053467B"/>
    <w:rsid w:val="00534B17"/>
    <w:rsid w:val="0053565A"/>
    <w:rsid w:val="00535986"/>
    <w:rsid w:val="00535EB4"/>
    <w:rsid w:val="005367D2"/>
    <w:rsid w:val="005370B7"/>
    <w:rsid w:val="00537ABA"/>
    <w:rsid w:val="00537CD9"/>
    <w:rsid w:val="00537FEF"/>
    <w:rsid w:val="0053AF3E"/>
    <w:rsid w:val="005407BC"/>
    <w:rsid w:val="005422CA"/>
    <w:rsid w:val="00542F67"/>
    <w:rsid w:val="00543140"/>
    <w:rsid w:val="005439A3"/>
    <w:rsid w:val="005439EE"/>
    <w:rsid w:val="00543D09"/>
    <w:rsid w:val="00544D68"/>
    <w:rsid w:val="00545D50"/>
    <w:rsid w:val="005464FC"/>
    <w:rsid w:val="00546607"/>
    <w:rsid w:val="00547A56"/>
    <w:rsid w:val="005501CA"/>
    <w:rsid w:val="00550CC5"/>
    <w:rsid w:val="00550E45"/>
    <w:rsid w:val="00551AC9"/>
    <w:rsid w:val="00551C29"/>
    <w:rsid w:val="00551E92"/>
    <w:rsid w:val="005520FB"/>
    <w:rsid w:val="00552B2F"/>
    <w:rsid w:val="0055304B"/>
    <w:rsid w:val="0055306A"/>
    <w:rsid w:val="005534C4"/>
    <w:rsid w:val="005538A4"/>
    <w:rsid w:val="00553E7B"/>
    <w:rsid w:val="005559A7"/>
    <w:rsid w:val="00555B7A"/>
    <w:rsid w:val="00555C6F"/>
    <w:rsid w:val="0055646C"/>
    <w:rsid w:val="00556BF3"/>
    <w:rsid w:val="00556EE7"/>
    <w:rsid w:val="005600B8"/>
    <w:rsid w:val="005608A6"/>
    <w:rsid w:val="00560FC1"/>
    <w:rsid w:val="0056104B"/>
    <w:rsid w:val="00562057"/>
    <w:rsid w:val="00563100"/>
    <w:rsid w:val="00563668"/>
    <w:rsid w:val="00564AEA"/>
    <w:rsid w:val="00565092"/>
    <w:rsid w:val="00565B38"/>
    <w:rsid w:val="005663CA"/>
    <w:rsid w:val="00567211"/>
    <w:rsid w:val="00567710"/>
    <w:rsid w:val="00567CCE"/>
    <w:rsid w:val="00567ECC"/>
    <w:rsid w:val="0057003A"/>
    <w:rsid w:val="00570712"/>
    <w:rsid w:val="00570AAD"/>
    <w:rsid w:val="00570C93"/>
    <w:rsid w:val="00571AC0"/>
    <w:rsid w:val="00572265"/>
    <w:rsid w:val="005731FB"/>
    <w:rsid w:val="00573272"/>
    <w:rsid w:val="00573508"/>
    <w:rsid w:val="005756F5"/>
    <w:rsid w:val="0057570A"/>
    <w:rsid w:val="00575CED"/>
    <w:rsid w:val="00576E70"/>
    <w:rsid w:val="0057762D"/>
    <w:rsid w:val="005806AE"/>
    <w:rsid w:val="00580904"/>
    <w:rsid w:val="00581147"/>
    <w:rsid w:val="00581DC5"/>
    <w:rsid w:val="00581EEB"/>
    <w:rsid w:val="0058201D"/>
    <w:rsid w:val="00582159"/>
    <w:rsid w:val="005823A7"/>
    <w:rsid w:val="00582407"/>
    <w:rsid w:val="00582A18"/>
    <w:rsid w:val="00582C14"/>
    <w:rsid w:val="00583147"/>
    <w:rsid w:val="00583160"/>
    <w:rsid w:val="00583D9F"/>
    <w:rsid w:val="00584BC3"/>
    <w:rsid w:val="00586503"/>
    <w:rsid w:val="00586930"/>
    <w:rsid w:val="0058777E"/>
    <w:rsid w:val="00587AF3"/>
    <w:rsid w:val="005901AE"/>
    <w:rsid w:val="005904FB"/>
    <w:rsid w:val="005907F9"/>
    <w:rsid w:val="00590C95"/>
    <w:rsid w:val="0059181C"/>
    <w:rsid w:val="00591FB2"/>
    <w:rsid w:val="00592064"/>
    <w:rsid w:val="005920CC"/>
    <w:rsid w:val="00592118"/>
    <w:rsid w:val="0059227E"/>
    <w:rsid w:val="0059228F"/>
    <w:rsid w:val="00593862"/>
    <w:rsid w:val="005938BA"/>
    <w:rsid w:val="00593CFD"/>
    <w:rsid w:val="00594340"/>
    <w:rsid w:val="0059451B"/>
    <w:rsid w:val="005946A6"/>
    <w:rsid w:val="005948CB"/>
    <w:rsid w:val="00595153"/>
    <w:rsid w:val="005955A7"/>
    <w:rsid w:val="0059575F"/>
    <w:rsid w:val="00595BE5"/>
    <w:rsid w:val="00596874"/>
    <w:rsid w:val="005971CA"/>
    <w:rsid w:val="0059731B"/>
    <w:rsid w:val="0059758E"/>
    <w:rsid w:val="00597B96"/>
    <w:rsid w:val="00597C03"/>
    <w:rsid w:val="00597DE6"/>
    <w:rsid w:val="00597F7F"/>
    <w:rsid w:val="005A0544"/>
    <w:rsid w:val="005A10FC"/>
    <w:rsid w:val="005A15F8"/>
    <w:rsid w:val="005A166A"/>
    <w:rsid w:val="005A188C"/>
    <w:rsid w:val="005A1BBF"/>
    <w:rsid w:val="005A1BE3"/>
    <w:rsid w:val="005A2952"/>
    <w:rsid w:val="005A2A73"/>
    <w:rsid w:val="005A2E99"/>
    <w:rsid w:val="005A326D"/>
    <w:rsid w:val="005A3480"/>
    <w:rsid w:val="005A3584"/>
    <w:rsid w:val="005A4192"/>
    <w:rsid w:val="005A4481"/>
    <w:rsid w:val="005A4E79"/>
    <w:rsid w:val="005A53FB"/>
    <w:rsid w:val="005A585D"/>
    <w:rsid w:val="005A61D3"/>
    <w:rsid w:val="005A6515"/>
    <w:rsid w:val="005A6CB9"/>
    <w:rsid w:val="005A7318"/>
    <w:rsid w:val="005A781A"/>
    <w:rsid w:val="005A7A2C"/>
    <w:rsid w:val="005A7A33"/>
    <w:rsid w:val="005B05CF"/>
    <w:rsid w:val="005B0941"/>
    <w:rsid w:val="005B1339"/>
    <w:rsid w:val="005B22B5"/>
    <w:rsid w:val="005B2B22"/>
    <w:rsid w:val="005B2B55"/>
    <w:rsid w:val="005B346D"/>
    <w:rsid w:val="005B362F"/>
    <w:rsid w:val="005B3C96"/>
    <w:rsid w:val="005B41EA"/>
    <w:rsid w:val="005B47A2"/>
    <w:rsid w:val="005B5489"/>
    <w:rsid w:val="005B5F9E"/>
    <w:rsid w:val="005B65DE"/>
    <w:rsid w:val="005B702B"/>
    <w:rsid w:val="005B7689"/>
    <w:rsid w:val="005B79E2"/>
    <w:rsid w:val="005B7CD6"/>
    <w:rsid w:val="005B7FAC"/>
    <w:rsid w:val="005C1C45"/>
    <w:rsid w:val="005C1CBC"/>
    <w:rsid w:val="005C1DB9"/>
    <w:rsid w:val="005C211E"/>
    <w:rsid w:val="005C21F9"/>
    <w:rsid w:val="005C2206"/>
    <w:rsid w:val="005C2788"/>
    <w:rsid w:val="005C3015"/>
    <w:rsid w:val="005C5058"/>
    <w:rsid w:val="005C557D"/>
    <w:rsid w:val="005C56C1"/>
    <w:rsid w:val="005C5A03"/>
    <w:rsid w:val="005C60C8"/>
    <w:rsid w:val="005C65D5"/>
    <w:rsid w:val="005C674D"/>
    <w:rsid w:val="005C6A9A"/>
    <w:rsid w:val="005C6E36"/>
    <w:rsid w:val="005C72B1"/>
    <w:rsid w:val="005C7C6F"/>
    <w:rsid w:val="005D02ED"/>
    <w:rsid w:val="005D066E"/>
    <w:rsid w:val="005D07EE"/>
    <w:rsid w:val="005D09B1"/>
    <w:rsid w:val="005D0A34"/>
    <w:rsid w:val="005D102D"/>
    <w:rsid w:val="005D2012"/>
    <w:rsid w:val="005D2C53"/>
    <w:rsid w:val="005D2EA6"/>
    <w:rsid w:val="005D329E"/>
    <w:rsid w:val="005D36C9"/>
    <w:rsid w:val="005D3B69"/>
    <w:rsid w:val="005D4301"/>
    <w:rsid w:val="005D4BC6"/>
    <w:rsid w:val="005D5001"/>
    <w:rsid w:val="005D58BF"/>
    <w:rsid w:val="005D5FF5"/>
    <w:rsid w:val="005D63FD"/>
    <w:rsid w:val="005D7301"/>
    <w:rsid w:val="005D754B"/>
    <w:rsid w:val="005D7F03"/>
    <w:rsid w:val="005E0271"/>
    <w:rsid w:val="005E0E7B"/>
    <w:rsid w:val="005E15CA"/>
    <w:rsid w:val="005E168B"/>
    <w:rsid w:val="005E2BA2"/>
    <w:rsid w:val="005E4090"/>
    <w:rsid w:val="005E4245"/>
    <w:rsid w:val="005E4255"/>
    <w:rsid w:val="005E4935"/>
    <w:rsid w:val="005E496C"/>
    <w:rsid w:val="005E4B79"/>
    <w:rsid w:val="005E4C74"/>
    <w:rsid w:val="005E530C"/>
    <w:rsid w:val="005E60E9"/>
    <w:rsid w:val="005E651F"/>
    <w:rsid w:val="005E7102"/>
    <w:rsid w:val="005F0903"/>
    <w:rsid w:val="005F0BF5"/>
    <w:rsid w:val="005F14F2"/>
    <w:rsid w:val="005F15AB"/>
    <w:rsid w:val="005F2995"/>
    <w:rsid w:val="005F2A21"/>
    <w:rsid w:val="005F2C93"/>
    <w:rsid w:val="005F2CA9"/>
    <w:rsid w:val="005F33AC"/>
    <w:rsid w:val="005F389E"/>
    <w:rsid w:val="005F3A6A"/>
    <w:rsid w:val="005F3ACE"/>
    <w:rsid w:val="005F3C60"/>
    <w:rsid w:val="005F3C93"/>
    <w:rsid w:val="005F3F37"/>
    <w:rsid w:val="005F3FB4"/>
    <w:rsid w:val="005F4004"/>
    <w:rsid w:val="005F582E"/>
    <w:rsid w:val="005F5877"/>
    <w:rsid w:val="005F59B2"/>
    <w:rsid w:val="005F6232"/>
    <w:rsid w:val="005F74FF"/>
    <w:rsid w:val="005F7516"/>
    <w:rsid w:val="005F7D66"/>
    <w:rsid w:val="006008C0"/>
    <w:rsid w:val="00600A38"/>
    <w:rsid w:val="00600F62"/>
    <w:rsid w:val="00601056"/>
    <w:rsid w:val="006010A7"/>
    <w:rsid w:val="00601515"/>
    <w:rsid w:val="00601571"/>
    <w:rsid w:val="006017B0"/>
    <w:rsid w:val="00601898"/>
    <w:rsid w:val="00601CD7"/>
    <w:rsid w:val="006021D1"/>
    <w:rsid w:val="00602B1F"/>
    <w:rsid w:val="00602CB5"/>
    <w:rsid w:val="00602F82"/>
    <w:rsid w:val="0060334B"/>
    <w:rsid w:val="00603607"/>
    <w:rsid w:val="00603CCF"/>
    <w:rsid w:val="00603D44"/>
    <w:rsid w:val="0060479B"/>
    <w:rsid w:val="00605489"/>
    <w:rsid w:val="0060588B"/>
    <w:rsid w:val="006060BA"/>
    <w:rsid w:val="00606AE6"/>
    <w:rsid w:val="0060744F"/>
    <w:rsid w:val="00607E30"/>
    <w:rsid w:val="006106F5"/>
    <w:rsid w:val="00611535"/>
    <w:rsid w:val="00612E08"/>
    <w:rsid w:val="00613AB7"/>
    <w:rsid w:val="00614B42"/>
    <w:rsid w:val="00614D4F"/>
    <w:rsid w:val="0061574A"/>
    <w:rsid w:val="00615794"/>
    <w:rsid w:val="006161F4"/>
    <w:rsid w:val="006163E7"/>
    <w:rsid w:val="0061676E"/>
    <w:rsid w:val="00616A74"/>
    <w:rsid w:val="006171D5"/>
    <w:rsid w:val="00617775"/>
    <w:rsid w:val="0062049F"/>
    <w:rsid w:val="006209C9"/>
    <w:rsid w:val="00620C87"/>
    <w:rsid w:val="00620FB9"/>
    <w:rsid w:val="00621882"/>
    <w:rsid w:val="0062218F"/>
    <w:rsid w:val="006223A7"/>
    <w:rsid w:val="00622FC7"/>
    <w:rsid w:val="006231A1"/>
    <w:rsid w:val="006238DE"/>
    <w:rsid w:val="00623DFE"/>
    <w:rsid w:val="00624A41"/>
    <w:rsid w:val="0062612C"/>
    <w:rsid w:val="00627644"/>
    <w:rsid w:val="00627894"/>
    <w:rsid w:val="006304FC"/>
    <w:rsid w:val="00631578"/>
    <w:rsid w:val="006320F9"/>
    <w:rsid w:val="006328F4"/>
    <w:rsid w:val="00632CEB"/>
    <w:rsid w:val="006336C0"/>
    <w:rsid w:val="006338B7"/>
    <w:rsid w:val="00633B35"/>
    <w:rsid w:val="00633F1B"/>
    <w:rsid w:val="00633F46"/>
    <w:rsid w:val="00633FB7"/>
    <w:rsid w:val="0063439B"/>
    <w:rsid w:val="006345DA"/>
    <w:rsid w:val="0063583C"/>
    <w:rsid w:val="00636F13"/>
    <w:rsid w:val="006371C8"/>
    <w:rsid w:val="00637338"/>
    <w:rsid w:val="006374EA"/>
    <w:rsid w:val="00637565"/>
    <w:rsid w:val="00637919"/>
    <w:rsid w:val="00637AB8"/>
    <w:rsid w:val="00637EAE"/>
    <w:rsid w:val="00640321"/>
    <w:rsid w:val="0064039A"/>
    <w:rsid w:val="00640565"/>
    <w:rsid w:val="0064103F"/>
    <w:rsid w:val="006414E7"/>
    <w:rsid w:val="00641E2E"/>
    <w:rsid w:val="00641EDB"/>
    <w:rsid w:val="00642881"/>
    <w:rsid w:val="00642B92"/>
    <w:rsid w:val="0064330C"/>
    <w:rsid w:val="006433BC"/>
    <w:rsid w:val="00643E7F"/>
    <w:rsid w:val="00644CAE"/>
    <w:rsid w:val="006457BF"/>
    <w:rsid w:val="00646694"/>
    <w:rsid w:val="00646D9E"/>
    <w:rsid w:val="00646F73"/>
    <w:rsid w:val="00646F89"/>
    <w:rsid w:val="00647C79"/>
    <w:rsid w:val="0065001E"/>
    <w:rsid w:val="0065088A"/>
    <w:rsid w:val="00651836"/>
    <w:rsid w:val="0065183B"/>
    <w:rsid w:val="0065280F"/>
    <w:rsid w:val="00653060"/>
    <w:rsid w:val="006534F9"/>
    <w:rsid w:val="00653A9E"/>
    <w:rsid w:val="0065427B"/>
    <w:rsid w:val="00654E47"/>
    <w:rsid w:val="006556A5"/>
    <w:rsid w:val="006557C2"/>
    <w:rsid w:val="00655ACD"/>
    <w:rsid w:val="006562DA"/>
    <w:rsid w:val="00656333"/>
    <w:rsid w:val="006567D8"/>
    <w:rsid w:val="006568D6"/>
    <w:rsid w:val="0065717B"/>
    <w:rsid w:val="0065745D"/>
    <w:rsid w:val="00657C50"/>
    <w:rsid w:val="00658C04"/>
    <w:rsid w:val="00662880"/>
    <w:rsid w:val="00662F6E"/>
    <w:rsid w:val="0066349F"/>
    <w:rsid w:val="0066381A"/>
    <w:rsid w:val="00664049"/>
    <w:rsid w:val="006641F9"/>
    <w:rsid w:val="0066469E"/>
    <w:rsid w:val="006646B4"/>
    <w:rsid w:val="0066495A"/>
    <w:rsid w:val="00665304"/>
    <w:rsid w:val="00665375"/>
    <w:rsid w:val="00667F25"/>
    <w:rsid w:val="00670D00"/>
    <w:rsid w:val="00670D01"/>
    <w:rsid w:val="00670E04"/>
    <w:rsid w:val="006715E4"/>
    <w:rsid w:val="006721C9"/>
    <w:rsid w:val="00672354"/>
    <w:rsid w:val="0067256C"/>
    <w:rsid w:val="00672646"/>
    <w:rsid w:val="00672B60"/>
    <w:rsid w:val="00672C31"/>
    <w:rsid w:val="00673059"/>
    <w:rsid w:val="0067308C"/>
    <w:rsid w:val="00673090"/>
    <w:rsid w:val="006734E6"/>
    <w:rsid w:val="006734EF"/>
    <w:rsid w:val="00673530"/>
    <w:rsid w:val="006736BB"/>
    <w:rsid w:val="00673749"/>
    <w:rsid w:val="00674BAF"/>
    <w:rsid w:val="0067520F"/>
    <w:rsid w:val="0067526B"/>
    <w:rsid w:val="00675651"/>
    <w:rsid w:val="00675771"/>
    <w:rsid w:val="00675ACC"/>
    <w:rsid w:val="00676247"/>
    <w:rsid w:val="006763F3"/>
    <w:rsid w:val="006769F9"/>
    <w:rsid w:val="00676DA4"/>
    <w:rsid w:val="006774D6"/>
    <w:rsid w:val="00680396"/>
    <w:rsid w:val="00680496"/>
    <w:rsid w:val="0068049D"/>
    <w:rsid w:val="00680E74"/>
    <w:rsid w:val="006827F4"/>
    <w:rsid w:val="00683034"/>
    <w:rsid w:val="006837C4"/>
    <w:rsid w:val="00684C9F"/>
    <w:rsid w:val="00684D1D"/>
    <w:rsid w:val="0068607D"/>
    <w:rsid w:val="00686271"/>
    <w:rsid w:val="0068631E"/>
    <w:rsid w:val="006865BB"/>
    <w:rsid w:val="00686851"/>
    <w:rsid w:val="00686E1D"/>
    <w:rsid w:val="00687451"/>
    <w:rsid w:val="00687D3B"/>
    <w:rsid w:val="00690668"/>
    <w:rsid w:val="0069102C"/>
    <w:rsid w:val="00692486"/>
    <w:rsid w:val="006931AF"/>
    <w:rsid w:val="00694162"/>
    <w:rsid w:val="006952E0"/>
    <w:rsid w:val="0069542B"/>
    <w:rsid w:val="0069562D"/>
    <w:rsid w:val="00695731"/>
    <w:rsid w:val="00695BEB"/>
    <w:rsid w:val="006967D2"/>
    <w:rsid w:val="0069758B"/>
    <w:rsid w:val="006A06E0"/>
    <w:rsid w:val="006A1565"/>
    <w:rsid w:val="006A22AD"/>
    <w:rsid w:val="006A29D9"/>
    <w:rsid w:val="006A3211"/>
    <w:rsid w:val="006A44E6"/>
    <w:rsid w:val="006A45E5"/>
    <w:rsid w:val="006A4A8D"/>
    <w:rsid w:val="006A4FE6"/>
    <w:rsid w:val="006A54F9"/>
    <w:rsid w:val="006A5A42"/>
    <w:rsid w:val="006A6B26"/>
    <w:rsid w:val="006A6C6A"/>
    <w:rsid w:val="006A7042"/>
    <w:rsid w:val="006A7B3D"/>
    <w:rsid w:val="006B02FB"/>
    <w:rsid w:val="006B04EE"/>
    <w:rsid w:val="006B178F"/>
    <w:rsid w:val="006B18A3"/>
    <w:rsid w:val="006B1BD8"/>
    <w:rsid w:val="006B2256"/>
    <w:rsid w:val="006B29F7"/>
    <w:rsid w:val="006B33BF"/>
    <w:rsid w:val="006B3DC4"/>
    <w:rsid w:val="006B43FB"/>
    <w:rsid w:val="006B4B13"/>
    <w:rsid w:val="006B4CF6"/>
    <w:rsid w:val="006B5103"/>
    <w:rsid w:val="006B545E"/>
    <w:rsid w:val="006B548C"/>
    <w:rsid w:val="006B5D02"/>
    <w:rsid w:val="006B65E8"/>
    <w:rsid w:val="006B6664"/>
    <w:rsid w:val="006B6A01"/>
    <w:rsid w:val="006B6AA9"/>
    <w:rsid w:val="006B6BF4"/>
    <w:rsid w:val="006C0928"/>
    <w:rsid w:val="006C1819"/>
    <w:rsid w:val="006C1959"/>
    <w:rsid w:val="006C2443"/>
    <w:rsid w:val="006C25AF"/>
    <w:rsid w:val="006C2B75"/>
    <w:rsid w:val="006C38FC"/>
    <w:rsid w:val="006C3EBB"/>
    <w:rsid w:val="006C4109"/>
    <w:rsid w:val="006C4185"/>
    <w:rsid w:val="006C4C35"/>
    <w:rsid w:val="006C561D"/>
    <w:rsid w:val="006C6268"/>
    <w:rsid w:val="006C68B2"/>
    <w:rsid w:val="006C6EF5"/>
    <w:rsid w:val="006C73FC"/>
    <w:rsid w:val="006C7414"/>
    <w:rsid w:val="006D0374"/>
    <w:rsid w:val="006D05BB"/>
    <w:rsid w:val="006D063B"/>
    <w:rsid w:val="006D1989"/>
    <w:rsid w:val="006D2EFB"/>
    <w:rsid w:val="006D3087"/>
    <w:rsid w:val="006D39B2"/>
    <w:rsid w:val="006D3C8B"/>
    <w:rsid w:val="006D3D4F"/>
    <w:rsid w:val="006D3F6B"/>
    <w:rsid w:val="006D419F"/>
    <w:rsid w:val="006D42CD"/>
    <w:rsid w:val="006D47F6"/>
    <w:rsid w:val="006D4CF8"/>
    <w:rsid w:val="006D4F1A"/>
    <w:rsid w:val="006D52E2"/>
    <w:rsid w:val="006D569B"/>
    <w:rsid w:val="006D6087"/>
    <w:rsid w:val="006D6684"/>
    <w:rsid w:val="006D6996"/>
    <w:rsid w:val="006D6BBB"/>
    <w:rsid w:val="006D6E92"/>
    <w:rsid w:val="006D6F73"/>
    <w:rsid w:val="006D70B9"/>
    <w:rsid w:val="006D7D90"/>
    <w:rsid w:val="006D7F45"/>
    <w:rsid w:val="006E18DB"/>
    <w:rsid w:val="006E2586"/>
    <w:rsid w:val="006E289A"/>
    <w:rsid w:val="006E28AA"/>
    <w:rsid w:val="006E410E"/>
    <w:rsid w:val="006E4645"/>
    <w:rsid w:val="006E4A85"/>
    <w:rsid w:val="006E62A1"/>
    <w:rsid w:val="006E72F1"/>
    <w:rsid w:val="006E74B2"/>
    <w:rsid w:val="006F0188"/>
    <w:rsid w:val="006F05C8"/>
    <w:rsid w:val="006F0A29"/>
    <w:rsid w:val="006F0C2E"/>
    <w:rsid w:val="006F167D"/>
    <w:rsid w:val="006F18D5"/>
    <w:rsid w:val="006F1CAE"/>
    <w:rsid w:val="006F1F83"/>
    <w:rsid w:val="006F21E8"/>
    <w:rsid w:val="006F2476"/>
    <w:rsid w:val="006F2628"/>
    <w:rsid w:val="006F26C6"/>
    <w:rsid w:val="006F42A9"/>
    <w:rsid w:val="006F4EEC"/>
    <w:rsid w:val="006F50EA"/>
    <w:rsid w:val="006F535A"/>
    <w:rsid w:val="006F57A6"/>
    <w:rsid w:val="006F6C6D"/>
    <w:rsid w:val="006F78A9"/>
    <w:rsid w:val="006F7CDA"/>
    <w:rsid w:val="007002E9"/>
    <w:rsid w:val="0070035D"/>
    <w:rsid w:val="00700C09"/>
    <w:rsid w:val="00700F71"/>
    <w:rsid w:val="0070102C"/>
    <w:rsid w:val="00701181"/>
    <w:rsid w:val="00701569"/>
    <w:rsid w:val="0070291B"/>
    <w:rsid w:val="007040A3"/>
    <w:rsid w:val="00704330"/>
    <w:rsid w:val="007044FC"/>
    <w:rsid w:val="00704596"/>
    <w:rsid w:val="00704D06"/>
    <w:rsid w:val="00706A1C"/>
    <w:rsid w:val="0070751A"/>
    <w:rsid w:val="00707A08"/>
    <w:rsid w:val="0070A02D"/>
    <w:rsid w:val="00711203"/>
    <w:rsid w:val="00711DD9"/>
    <w:rsid w:val="00712DF8"/>
    <w:rsid w:val="00713675"/>
    <w:rsid w:val="007139D1"/>
    <w:rsid w:val="00714164"/>
    <w:rsid w:val="00714EE3"/>
    <w:rsid w:val="007159D2"/>
    <w:rsid w:val="00716A2E"/>
    <w:rsid w:val="007172D9"/>
    <w:rsid w:val="00717ADE"/>
    <w:rsid w:val="0072037F"/>
    <w:rsid w:val="007204D7"/>
    <w:rsid w:val="00720877"/>
    <w:rsid w:val="0072200E"/>
    <w:rsid w:val="00722719"/>
    <w:rsid w:val="00722C22"/>
    <w:rsid w:val="00723678"/>
    <w:rsid w:val="007238C9"/>
    <w:rsid w:val="00723974"/>
    <w:rsid w:val="00723BC5"/>
    <w:rsid w:val="00724046"/>
    <w:rsid w:val="00724183"/>
    <w:rsid w:val="007241DA"/>
    <w:rsid w:val="007248FF"/>
    <w:rsid w:val="0072505F"/>
    <w:rsid w:val="007255BB"/>
    <w:rsid w:val="00725B04"/>
    <w:rsid w:val="007261BD"/>
    <w:rsid w:val="007263A6"/>
    <w:rsid w:val="007267E7"/>
    <w:rsid w:val="00726DA5"/>
    <w:rsid w:val="00726E72"/>
    <w:rsid w:val="007277B7"/>
    <w:rsid w:val="00727BC0"/>
    <w:rsid w:val="0073088E"/>
    <w:rsid w:val="007314B5"/>
    <w:rsid w:val="00731B1A"/>
    <w:rsid w:val="00731C9C"/>
    <w:rsid w:val="007326FC"/>
    <w:rsid w:val="00732FF4"/>
    <w:rsid w:val="00733B12"/>
    <w:rsid w:val="00733F89"/>
    <w:rsid w:val="0073409B"/>
    <w:rsid w:val="00734102"/>
    <w:rsid w:val="00734389"/>
    <w:rsid w:val="0073493B"/>
    <w:rsid w:val="007350B6"/>
    <w:rsid w:val="00735270"/>
    <w:rsid w:val="0073553D"/>
    <w:rsid w:val="00735E0C"/>
    <w:rsid w:val="00736542"/>
    <w:rsid w:val="00736A02"/>
    <w:rsid w:val="00736F58"/>
    <w:rsid w:val="007371A4"/>
    <w:rsid w:val="00737420"/>
    <w:rsid w:val="00737519"/>
    <w:rsid w:val="00740910"/>
    <w:rsid w:val="007414E2"/>
    <w:rsid w:val="00741EC2"/>
    <w:rsid w:val="007428D2"/>
    <w:rsid w:val="0074343D"/>
    <w:rsid w:val="0074360D"/>
    <w:rsid w:val="0074367C"/>
    <w:rsid w:val="007444C0"/>
    <w:rsid w:val="0074497F"/>
    <w:rsid w:val="00745D5B"/>
    <w:rsid w:val="007460FC"/>
    <w:rsid w:val="00746484"/>
    <w:rsid w:val="007466F5"/>
    <w:rsid w:val="007504D9"/>
    <w:rsid w:val="00750AA0"/>
    <w:rsid w:val="0075162E"/>
    <w:rsid w:val="00752480"/>
    <w:rsid w:val="00752C5E"/>
    <w:rsid w:val="00752FA9"/>
    <w:rsid w:val="00754486"/>
    <w:rsid w:val="00754B13"/>
    <w:rsid w:val="00754B40"/>
    <w:rsid w:val="00756488"/>
    <w:rsid w:val="00756D04"/>
    <w:rsid w:val="00757D2A"/>
    <w:rsid w:val="00757D40"/>
    <w:rsid w:val="00757E3E"/>
    <w:rsid w:val="0076085F"/>
    <w:rsid w:val="007610FC"/>
    <w:rsid w:val="007616C3"/>
    <w:rsid w:val="00761C7F"/>
    <w:rsid w:val="00761EF1"/>
    <w:rsid w:val="007620E6"/>
    <w:rsid w:val="00762940"/>
    <w:rsid w:val="00764204"/>
    <w:rsid w:val="00764370"/>
    <w:rsid w:val="00764948"/>
    <w:rsid w:val="00765072"/>
    <w:rsid w:val="007665E6"/>
    <w:rsid w:val="00767CBB"/>
    <w:rsid w:val="007704A0"/>
    <w:rsid w:val="007705E2"/>
    <w:rsid w:val="00770AB9"/>
    <w:rsid w:val="00770BB2"/>
    <w:rsid w:val="00770C16"/>
    <w:rsid w:val="00770CF0"/>
    <w:rsid w:val="007714D0"/>
    <w:rsid w:val="007714F2"/>
    <w:rsid w:val="00771B17"/>
    <w:rsid w:val="0077228C"/>
    <w:rsid w:val="00772D1D"/>
    <w:rsid w:val="00772F0F"/>
    <w:rsid w:val="007752CE"/>
    <w:rsid w:val="00775665"/>
    <w:rsid w:val="00775AB6"/>
    <w:rsid w:val="00775C76"/>
    <w:rsid w:val="00776878"/>
    <w:rsid w:val="00776A36"/>
    <w:rsid w:val="00776FF8"/>
    <w:rsid w:val="00777CC8"/>
    <w:rsid w:val="00777CF2"/>
    <w:rsid w:val="00780298"/>
    <w:rsid w:val="00781174"/>
    <w:rsid w:val="00781862"/>
    <w:rsid w:val="0078194A"/>
    <w:rsid w:val="0078293D"/>
    <w:rsid w:val="00782C40"/>
    <w:rsid w:val="00783380"/>
    <w:rsid w:val="00783773"/>
    <w:rsid w:val="0078417B"/>
    <w:rsid w:val="00784728"/>
    <w:rsid w:val="00784966"/>
    <w:rsid w:val="00784D8B"/>
    <w:rsid w:val="00784E32"/>
    <w:rsid w:val="007850C0"/>
    <w:rsid w:val="00785202"/>
    <w:rsid w:val="00787AE9"/>
    <w:rsid w:val="00787EEC"/>
    <w:rsid w:val="00790087"/>
    <w:rsid w:val="00790AEE"/>
    <w:rsid w:val="00790E4D"/>
    <w:rsid w:val="00790F5E"/>
    <w:rsid w:val="0079152D"/>
    <w:rsid w:val="00791646"/>
    <w:rsid w:val="00792100"/>
    <w:rsid w:val="0079241C"/>
    <w:rsid w:val="00792A7B"/>
    <w:rsid w:val="007932D1"/>
    <w:rsid w:val="00793701"/>
    <w:rsid w:val="00793D0B"/>
    <w:rsid w:val="007955FD"/>
    <w:rsid w:val="00795C11"/>
    <w:rsid w:val="00795D83"/>
    <w:rsid w:val="007961A3"/>
    <w:rsid w:val="00797178"/>
    <w:rsid w:val="00797210"/>
    <w:rsid w:val="00797BC0"/>
    <w:rsid w:val="0079C750"/>
    <w:rsid w:val="007A02CF"/>
    <w:rsid w:val="007A1784"/>
    <w:rsid w:val="007A18C0"/>
    <w:rsid w:val="007A1AAA"/>
    <w:rsid w:val="007A1DE8"/>
    <w:rsid w:val="007A203A"/>
    <w:rsid w:val="007A275C"/>
    <w:rsid w:val="007A29E6"/>
    <w:rsid w:val="007A2C5C"/>
    <w:rsid w:val="007A384F"/>
    <w:rsid w:val="007A3B37"/>
    <w:rsid w:val="007A432D"/>
    <w:rsid w:val="007A4FB7"/>
    <w:rsid w:val="007A5351"/>
    <w:rsid w:val="007A6B43"/>
    <w:rsid w:val="007A7044"/>
    <w:rsid w:val="007B0493"/>
    <w:rsid w:val="007B0D43"/>
    <w:rsid w:val="007B142E"/>
    <w:rsid w:val="007B1529"/>
    <w:rsid w:val="007B1D2A"/>
    <w:rsid w:val="007B28BB"/>
    <w:rsid w:val="007B2BEF"/>
    <w:rsid w:val="007B2D91"/>
    <w:rsid w:val="007B32A3"/>
    <w:rsid w:val="007B33A6"/>
    <w:rsid w:val="007B3B95"/>
    <w:rsid w:val="007B3F5D"/>
    <w:rsid w:val="007B4842"/>
    <w:rsid w:val="007B4A0D"/>
    <w:rsid w:val="007B4AB0"/>
    <w:rsid w:val="007B4B22"/>
    <w:rsid w:val="007B5642"/>
    <w:rsid w:val="007B6AB3"/>
    <w:rsid w:val="007B76EA"/>
    <w:rsid w:val="007B7B47"/>
    <w:rsid w:val="007B7E9E"/>
    <w:rsid w:val="007B8EE3"/>
    <w:rsid w:val="007C0014"/>
    <w:rsid w:val="007C01D4"/>
    <w:rsid w:val="007C03E6"/>
    <w:rsid w:val="007C0447"/>
    <w:rsid w:val="007C093D"/>
    <w:rsid w:val="007C1194"/>
    <w:rsid w:val="007C1321"/>
    <w:rsid w:val="007C1D05"/>
    <w:rsid w:val="007C20F4"/>
    <w:rsid w:val="007C2734"/>
    <w:rsid w:val="007C287E"/>
    <w:rsid w:val="007C2E0D"/>
    <w:rsid w:val="007C2F20"/>
    <w:rsid w:val="007C30B4"/>
    <w:rsid w:val="007C30F5"/>
    <w:rsid w:val="007C3C0E"/>
    <w:rsid w:val="007C4058"/>
    <w:rsid w:val="007C5663"/>
    <w:rsid w:val="007C5C8C"/>
    <w:rsid w:val="007C79C3"/>
    <w:rsid w:val="007C7EBB"/>
    <w:rsid w:val="007D0000"/>
    <w:rsid w:val="007D01DE"/>
    <w:rsid w:val="007D0315"/>
    <w:rsid w:val="007D0D4C"/>
    <w:rsid w:val="007D1278"/>
    <w:rsid w:val="007D12A6"/>
    <w:rsid w:val="007D1332"/>
    <w:rsid w:val="007D20C6"/>
    <w:rsid w:val="007D21D8"/>
    <w:rsid w:val="007D21E1"/>
    <w:rsid w:val="007D2840"/>
    <w:rsid w:val="007D356D"/>
    <w:rsid w:val="007D3C6B"/>
    <w:rsid w:val="007D4BCA"/>
    <w:rsid w:val="007D535F"/>
    <w:rsid w:val="007D5389"/>
    <w:rsid w:val="007D551C"/>
    <w:rsid w:val="007D5831"/>
    <w:rsid w:val="007D59AE"/>
    <w:rsid w:val="007D670C"/>
    <w:rsid w:val="007D6722"/>
    <w:rsid w:val="007D67B9"/>
    <w:rsid w:val="007D680C"/>
    <w:rsid w:val="007D6981"/>
    <w:rsid w:val="007D6BC8"/>
    <w:rsid w:val="007D6DDE"/>
    <w:rsid w:val="007D73B9"/>
    <w:rsid w:val="007D748E"/>
    <w:rsid w:val="007D79D0"/>
    <w:rsid w:val="007D7A19"/>
    <w:rsid w:val="007E053B"/>
    <w:rsid w:val="007E0B2C"/>
    <w:rsid w:val="007E0D2D"/>
    <w:rsid w:val="007E0FA0"/>
    <w:rsid w:val="007E1402"/>
    <w:rsid w:val="007E18CF"/>
    <w:rsid w:val="007E19BC"/>
    <w:rsid w:val="007E1BFA"/>
    <w:rsid w:val="007E1F96"/>
    <w:rsid w:val="007E2106"/>
    <w:rsid w:val="007E2177"/>
    <w:rsid w:val="007E2569"/>
    <w:rsid w:val="007E34DD"/>
    <w:rsid w:val="007E3880"/>
    <w:rsid w:val="007E3CFF"/>
    <w:rsid w:val="007E45B2"/>
    <w:rsid w:val="007E525E"/>
    <w:rsid w:val="007E548A"/>
    <w:rsid w:val="007E56CD"/>
    <w:rsid w:val="007E58A3"/>
    <w:rsid w:val="007E67E0"/>
    <w:rsid w:val="007E726C"/>
    <w:rsid w:val="007E72A6"/>
    <w:rsid w:val="007E7D42"/>
    <w:rsid w:val="007E7FA6"/>
    <w:rsid w:val="007F0583"/>
    <w:rsid w:val="007F0609"/>
    <w:rsid w:val="007F0758"/>
    <w:rsid w:val="007F0B8B"/>
    <w:rsid w:val="007F0BC2"/>
    <w:rsid w:val="007F1C1F"/>
    <w:rsid w:val="007F3758"/>
    <w:rsid w:val="007F41B1"/>
    <w:rsid w:val="007F4B1E"/>
    <w:rsid w:val="007F4E8C"/>
    <w:rsid w:val="007F527B"/>
    <w:rsid w:val="007F5360"/>
    <w:rsid w:val="007F656D"/>
    <w:rsid w:val="007F6B54"/>
    <w:rsid w:val="007F749D"/>
    <w:rsid w:val="007F7552"/>
    <w:rsid w:val="00800175"/>
    <w:rsid w:val="008009B9"/>
    <w:rsid w:val="00800D2A"/>
    <w:rsid w:val="00801393"/>
    <w:rsid w:val="00801B08"/>
    <w:rsid w:val="00802431"/>
    <w:rsid w:val="0080273E"/>
    <w:rsid w:val="008029DB"/>
    <w:rsid w:val="00802AC7"/>
    <w:rsid w:val="00802E73"/>
    <w:rsid w:val="00802EFD"/>
    <w:rsid w:val="00803224"/>
    <w:rsid w:val="00803544"/>
    <w:rsid w:val="00803860"/>
    <w:rsid w:val="00804695"/>
    <w:rsid w:val="00804897"/>
    <w:rsid w:val="00805024"/>
    <w:rsid w:val="008050B9"/>
    <w:rsid w:val="00805BF2"/>
    <w:rsid w:val="00805FFA"/>
    <w:rsid w:val="0080626D"/>
    <w:rsid w:val="00806642"/>
    <w:rsid w:val="00806A7F"/>
    <w:rsid w:val="00806C0F"/>
    <w:rsid w:val="00806E16"/>
    <w:rsid w:val="00806E8B"/>
    <w:rsid w:val="00806F5E"/>
    <w:rsid w:val="0080700F"/>
    <w:rsid w:val="0080732F"/>
    <w:rsid w:val="00807F9F"/>
    <w:rsid w:val="00810391"/>
    <w:rsid w:val="008108A0"/>
    <w:rsid w:val="00810AED"/>
    <w:rsid w:val="0081191E"/>
    <w:rsid w:val="008119A8"/>
    <w:rsid w:val="00811C54"/>
    <w:rsid w:val="00811E2D"/>
    <w:rsid w:val="00812057"/>
    <w:rsid w:val="00812666"/>
    <w:rsid w:val="00812982"/>
    <w:rsid w:val="00813833"/>
    <w:rsid w:val="008149C8"/>
    <w:rsid w:val="00814AEA"/>
    <w:rsid w:val="00815727"/>
    <w:rsid w:val="00815874"/>
    <w:rsid w:val="00815AB7"/>
    <w:rsid w:val="00816105"/>
    <w:rsid w:val="008163BD"/>
    <w:rsid w:val="008163F0"/>
    <w:rsid w:val="0081718B"/>
    <w:rsid w:val="008172B6"/>
    <w:rsid w:val="0081760A"/>
    <w:rsid w:val="00817F6D"/>
    <w:rsid w:val="0082076E"/>
    <w:rsid w:val="008209DF"/>
    <w:rsid w:val="00820EF6"/>
    <w:rsid w:val="00822BE8"/>
    <w:rsid w:val="00823018"/>
    <w:rsid w:val="00823142"/>
    <w:rsid w:val="00823B6F"/>
    <w:rsid w:val="008251BE"/>
    <w:rsid w:val="008254FD"/>
    <w:rsid w:val="00826B4B"/>
    <w:rsid w:val="00827B84"/>
    <w:rsid w:val="00830665"/>
    <w:rsid w:val="00831753"/>
    <w:rsid w:val="008318B3"/>
    <w:rsid w:val="00831957"/>
    <w:rsid w:val="00831C0E"/>
    <w:rsid w:val="00831F9E"/>
    <w:rsid w:val="00832276"/>
    <w:rsid w:val="00832D29"/>
    <w:rsid w:val="00833209"/>
    <w:rsid w:val="00833F35"/>
    <w:rsid w:val="0083448D"/>
    <w:rsid w:val="00834AB5"/>
    <w:rsid w:val="00834C34"/>
    <w:rsid w:val="00834C81"/>
    <w:rsid w:val="00834E58"/>
    <w:rsid w:val="00835B64"/>
    <w:rsid w:val="00835D3D"/>
    <w:rsid w:val="00836704"/>
    <w:rsid w:val="00837122"/>
    <w:rsid w:val="0084074D"/>
    <w:rsid w:val="0084168B"/>
    <w:rsid w:val="008419E7"/>
    <w:rsid w:val="00842555"/>
    <w:rsid w:val="008427B7"/>
    <w:rsid w:val="00842F09"/>
    <w:rsid w:val="008430F3"/>
    <w:rsid w:val="0084349F"/>
    <w:rsid w:val="00843783"/>
    <w:rsid w:val="00843A93"/>
    <w:rsid w:val="00844083"/>
    <w:rsid w:val="00844457"/>
    <w:rsid w:val="0084493A"/>
    <w:rsid w:val="00844A40"/>
    <w:rsid w:val="00844C4D"/>
    <w:rsid w:val="00845798"/>
    <w:rsid w:val="0084681B"/>
    <w:rsid w:val="008477A0"/>
    <w:rsid w:val="008478F4"/>
    <w:rsid w:val="00847ADD"/>
    <w:rsid w:val="00847CF3"/>
    <w:rsid w:val="00852272"/>
    <w:rsid w:val="00852644"/>
    <w:rsid w:val="0085282B"/>
    <w:rsid w:val="008532F5"/>
    <w:rsid w:val="00854066"/>
    <w:rsid w:val="0085422D"/>
    <w:rsid w:val="008542BF"/>
    <w:rsid w:val="00854547"/>
    <w:rsid w:val="00854EDB"/>
    <w:rsid w:val="00855413"/>
    <w:rsid w:val="0085567C"/>
    <w:rsid w:val="00855C66"/>
    <w:rsid w:val="00855E49"/>
    <w:rsid w:val="0085726B"/>
    <w:rsid w:val="00857B55"/>
    <w:rsid w:val="00860300"/>
    <w:rsid w:val="008606C8"/>
    <w:rsid w:val="00861A9E"/>
    <w:rsid w:val="00861CC4"/>
    <w:rsid w:val="008644B0"/>
    <w:rsid w:val="00865143"/>
    <w:rsid w:val="0086553A"/>
    <w:rsid w:val="00865A2B"/>
    <w:rsid w:val="008663F4"/>
    <w:rsid w:val="008664D6"/>
    <w:rsid w:val="0086698B"/>
    <w:rsid w:val="008675F1"/>
    <w:rsid w:val="008677A3"/>
    <w:rsid w:val="00867E73"/>
    <w:rsid w:val="008704BD"/>
    <w:rsid w:val="0087246B"/>
    <w:rsid w:val="00873759"/>
    <w:rsid w:val="00873A21"/>
    <w:rsid w:val="00874121"/>
    <w:rsid w:val="008744E0"/>
    <w:rsid w:val="00874905"/>
    <w:rsid w:val="00875869"/>
    <w:rsid w:val="00875A39"/>
    <w:rsid w:val="00876700"/>
    <w:rsid w:val="00877046"/>
    <w:rsid w:val="00877134"/>
    <w:rsid w:val="00877923"/>
    <w:rsid w:val="0088043D"/>
    <w:rsid w:val="00880474"/>
    <w:rsid w:val="00880578"/>
    <w:rsid w:val="00881217"/>
    <w:rsid w:val="0088155D"/>
    <w:rsid w:val="00881705"/>
    <w:rsid w:val="008822D4"/>
    <w:rsid w:val="00882555"/>
    <w:rsid w:val="0088285F"/>
    <w:rsid w:val="00882E86"/>
    <w:rsid w:val="008836F8"/>
    <w:rsid w:val="0088377C"/>
    <w:rsid w:val="00883BF2"/>
    <w:rsid w:val="00883FB7"/>
    <w:rsid w:val="008841D4"/>
    <w:rsid w:val="00884460"/>
    <w:rsid w:val="00884D92"/>
    <w:rsid w:val="00885EDB"/>
    <w:rsid w:val="0088745E"/>
    <w:rsid w:val="008876C8"/>
    <w:rsid w:val="008900FA"/>
    <w:rsid w:val="008907F7"/>
    <w:rsid w:val="008909C1"/>
    <w:rsid w:val="008909D6"/>
    <w:rsid w:val="00890C32"/>
    <w:rsid w:val="008910A2"/>
    <w:rsid w:val="00891CDE"/>
    <w:rsid w:val="00891DA7"/>
    <w:rsid w:val="0089233F"/>
    <w:rsid w:val="00892FF0"/>
    <w:rsid w:val="00893324"/>
    <w:rsid w:val="0089336F"/>
    <w:rsid w:val="00893574"/>
    <w:rsid w:val="00894051"/>
    <w:rsid w:val="00894442"/>
    <w:rsid w:val="00894492"/>
    <w:rsid w:val="008949EB"/>
    <w:rsid w:val="00894B8A"/>
    <w:rsid w:val="00894ED6"/>
    <w:rsid w:val="00895104"/>
    <w:rsid w:val="008957BA"/>
    <w:rsid w:val="00896361"/>
    <w:rsid w:val="008964F5"/>
    <w:rsid w:val="00896588"/>
    <w:rsid w:val="0089660D"/>
    <w:rsid w:val="00896B55"/>
    <w:rsid w:val="008A0D3B"/>
    <w:rsid w:val="008A1B42"/>
    <w:rsid w:val="008A1C5E"/>
    <w:rsid w:val="008A2616"/>
    <w:rsid w:val="008A26A3"/>
    <w:rsid w:val="008A2CB5"/>
    <w:rsid w:val="008A2F25"/>
    <w:rsid w:val="008A3045"/>
    <w:rsid w:val="008A3173"/>
    <w:rsid w:val="008A33CB"/>
    <w:rsid w:val="008A3A85"/>
    <w:rsid w:val="008A419E"/>
    <w:rsid w:val="008A4537"/>
    <w:rsid w:val="008A4C85"/>
    <w:rsid w:val="008A555E"/>
    <w:rsid w:val="008A70FF"/>
    <w:rsid w:val="008A74E4"/>
    <w:rsid w:val="008B0313"/>
    <w:rsid w:val="008B059E"/>
    <w:rsid w:val="008B1301"/>
    <w:rsid w:val="008B2353"/>
    <w:rsid w:val="008B23A8"/>
    <w:rsid w:val="008B2FA1"/>
    <w:rsid w:val="008B3922"/>
    <w:rsid w:val="008B3D80"/>
    <w:rsid w:val="008B4B07"/>
    <w:rsid w:val="008B4D8F"/>
    <w:rsid w:val="008B57BB"/>
    <w:rsid w:val="008B6954"/>
    <w:rsid w:val="008B725D"/>
    <w:rsid w:val="008C0063"/>
    <w:rsid w:val="008C0CCB"/>
    <w:rsid w:val="008C162B"/>
    <w:rsid w:val="008C2A6F"/>
    <w:rsid w:val="008C2AB5"/>
    <w:rsid w:val="008C3637"/>
    <w:rsid w:val="008C3966"/>
    <w:rsid w:val="008C3B46"/>
    <w:rsid w:val="008C3DEA"/>
    <w:rsid w:val="008C43E6"/>
    <w:rsid w:val="008C56BE"/>
    <w:rsid w:val="008C58C1"/>
    <w:rsid w:val="008C62A9"/>
    <w:rsid w:val="008C79A0"/>
    <w:rsid w:val="008D07D0"/>
    <w:rsid w:val="008D0B62"/>
    <w:rsid w:val="008D1B7E"/>
    <w:rsid w:val="008D231E"/>
    <w:rsid w:val="008D254A"/>
    <w:rsid w:val="008D25C0"/>
    <w:rsid w:val="008D26D7"/>
    <w:rsid w:val="008D2F1F"/>
    <w:rsid w:val="008D3225"/>
    <w:rsid w:val="008D3BDF"/>
    <w:rsid w:val="008D3E15"/>
    <w:rsid w:val="008D4922"/>
    <w:rsid w:val="008D4F4C"/>
    <w:rsid w:val="008D52BC"/>
    <w:rsid w:val="008D6087"/>
    <w:rsid w:val="008D634F"/>
    <w:rsid w:val="008D6AB5"/>
    <w:rsid w:val="008D6D68"/>
    <w:rsid w:val="008E0206"/>
    <w:rsid w:val="008E18CC"/>
    <w:rsid w:val="008E1EB9"/>
    <w:rsid w:val="008E268A"/>
    <w:rsid w:val="008E2808"/>
    <w:rsid w:val="008E2993"/>
    <w:rsid w:val="008E2A0A"/>
    <w:rsid w:val="008E2FDE"/>
    <w:rsid w:val="008E398E"/>
    <w:rsid w:val="008E3D87"/>
    <w:rsid w:val="008E55C7"/>
    <w:rsid w:val="008E5CE0"/>
    <w:rsid w:val="008E6156"/>
    <w:rsid w:val="008E66A7"/>
    <w:rsid w:val="008E7C41"/>
    <w:rsid w:val="008F01CE"/>
    <w:rsid w:val="008F0D26"/>
    <w:rsid w:val="008F136C"/>
    <w:rsid w:val="008F18E2"/>
    <w:rsid w:val="008F1B3C"/>
    <w:rsid w:val="008F24B0"/>
    <w:rsid w:val="008F29EF"/>
    <w:rsid w:val="008F2A19"/>
    <w:rsid w:val="008F4F7B"/>
    <w:rsid w:val="008F4FC5"/>
    <w:rsid w:val="008F561B"/>
    <w:rsid w:val="008F5765"/>
    <w:rsid w:val="008F58BB"/>
    <w:rsid w:val="008F5D07"/>
    <w:rsid w:val="008F5D26"/>
    <w:rsid w:val="008F6A3F"/>
    <w:rsid w:val="008F77E0"/>
    <w:rsid w:val="008F78BA"/>
    <w:rsid w:val="008F79E3"/>
    <w:rsid w:val="00900891"/>
    <w:rsid w:val="0090175E"/>
    <w:rsid w:val="00901C9C"/>
    <w:rsid w:val="00901DF6"/>
    <w:rsid w:val="00901E97"/>
    <w:rsid w:val="00902055"/>
    <w:rsid w:val="00902E5A"/>
    <w:rsid w:val="0090392E"/>
    <w:rsid w:val="009039CE"/>
    <w:rsid w:val="00904069"/>
    <w:rsid w:val="009040EA"/>
    <w:rsid w:val="009041F4"/>
    <w:rsid w:val="009045C5"/>
    <w:rsid w:val="009046B9"/>
    <w:rsid w:val="00905102"/>
    <w:rsid w:val="00905139"/>
    <w:rsid w:val="009062C9"/>
    <w:rsid w:val="0090681D"/>
    <w:rsid w:val="00907622"/>
    <w:rsid w:val="00907773"/>
    <w:rsid w:val="00907E80"/>
    <w:rsid w:val="00907ED1"/>
    <w:rsid w:val="009105B8"/>
    <w:rsid w:val="009106CA"/>
    <w:rsid w:val="009107F1"/>
    <w:rsid w:val="009108F3"/>
    <w:rsid w:val="00910E8D"/>
    <w:rsid w:val="009113C5"/>
    <w:rsid w:val="00911534"/>
    <w:rsid w:val="009115EA"/>
    <w:rsid w:val="009117E4"/>
    <w:rsid w:val="00911EB7"/>
    <w:rsid w:val="00912AD1"/>
    <w:rsid w:val="00912D1F"/>
    <w:rsid w:val="00912EE2"/>
    <w:rsid w:val="0091324C"/>
    <w:rsid w:val="00913671"/>
    <w:rsid w:val="009136C2"/>
    <w:rsid w:val="009138D5"/>
    <w:rsid w:val="00914510"/>
    <w:rsid w:val="00914969"/>
    <w:rsid w:val="0091640C"/>
    <w:rsid w:val="00916E2A"/>
    <w:rsid w:val="00916EF4"/>
    <w:rsid w:val="0091735D"/>
    <w:rsid w:val="009174A4"/>
    <w:rsid w:val="009179E8"/>
    <w:rsid w:val="009202F6"/>
    <w:rsid w:val="00920E4D"/>
    <w:rsid w:val="00921032"/>
    <w:rsid w:val="00921B4B"/>
    <w:rsid w:val="00921E29"/>
    <w:rsid w:val="00922780"/>
    <w:rsid w:val="00922B55"/>
    <w:rsid w:val="0092353B"/>
    <w:rsid w:val="0092486C"/>
    <w:rsid w:val="00924B00"/>
    <w:rsid w:val="00924DA6"/>
    <w:rsid w:val="00924E96"/>
    <w:rsid w:val="0092576F"/>
    <w:rsid w:val="00925B76"/>
    <w:rsid w:val="00926963"/>
    <w:rsid w:val="0092700E"/>
    <w:rsid w:val="00927576"/>
    <w:rsid w:val="00927629"/>
    <w:rsid w:val="009279A5"/>
    <w:rsid w:val="00927A21"/>
    <w:rsid w:val="00927AA6"/>
    <w:rsid w:val="00927F5E"/>
    <w:rsid w:val="009306DA"/>
    <w:rsid w:val="00930B2B"/>
    <w:rsid w:val="00931046"/>
    <w:rsid w:val="009312E5"/>
    <w:rsid w:val="009314C7"/>
    <w:rsid w:val="00932D6D"/>
    <w:rsid w:val="009349A0"/>
    <w:rsid w:val="00935D8F"/>
    <w:rsid w:val="009363D0"/>
    <w:rsid w:val="009370D4"/>
    <w:rsid w:val="009370D8"/>
    <w:rsid w:val="0093761F"/>
    <w:rsid w:val="00937B6A"/>
    <w:rsid w:val="00937E73"/>
    <w:rsid w:val="009408A6"/>
    <w:rsid w:val="00940EA8"/>
    <w:rsid w:val="009410B2"/>
    <w:rsid w:val="00941657"/>
    <w:rsid w:val="00942056"/>
    <w:rsid w:val="0094282D"/>
    <w:rsid w:val="009431D6"/>
    <w:rsid w:val="00943810"/>
    <w:rsid w:val="00943A83"/>
    <w:rsid w:val="00943E6D"/>
    <w:rsid w:val="00944565"/>
    <w:rsid w:val="00944657"/>
    <w:rsid w:val="0094591A"/>
    <w:rsid w:val="009474ED"/>
    <w:rsid w:val="00947830"/>
    <w:rsid w:val="00947B28"/>
    <w:rsid w:val="0095004B"/>
    <w:rsid w:val="009505C7"/>
    <w:rsid w:val="00950BE2"/>
    <w:rsid w:val="00950F65"/>
    <w:rsid w:val="0095105D"/>
    <w:rsid w:val="00951419"/>
    <w:rsid w:val="00951B37"/>
    <w:rsid w:val="009522AA"/>
    <w:rsid w:val="009533C4"/>
    <w:rsid w:val="009537F4"/>
    <w:rsid w:val="00953EC0"/>
    <w:rsid w:val="00953FDD"/>
    <w:rsid w:val="0095436C"/>
    <w:rsid w:val="00954F6A"/>
    <w:rsid w:val="00956521"/>
    <w:rsid w:val="00956EB9"/>
    <w:rsid w:val="00956F2D"/>
    <w:rsid w:val="00957157"/>
    <w:rsid w:val="00957372"/>
    <w:rsid w:val="00957544"/>
    <w:rsid w:val="0095765D"/>
    <w:rsid w:val="009605DC"/>
    <w:rsid w:val="00960F77"/>
    <w:rsid w:val="00961632"/>
    <w:rsid w:val="00961769"/>
    <w:rsid w:val="00961B84"/>
    <w:rsid w:val="00962190"/>
    <w:rsid w:val="0096255D"/>
    <w:rsid w:val="00962A83"/>
    <w:rsid w:val="00963D62"/>
    <w:rsid w:val="009646AD"/>
    <w:rsid w:val="00964F89"/>
    <w:rsid w:val="00965050"/>
    <w:rsid w:val="0096507A"/>
    <w:rsid w:val="0096590F"/>
    <w:rsid w:val="00965F96"/>
    <w:rsid w:val="009662E1"/>
    <w:rsid w:val="00966BB6"/>
    <w:rsid w:val="00967143"/>
    <w:rsid w:val="00967460"/>
    <w:rsid w:val="0096758C"/>
    <w:rsid w:val="0097022F"/>
    <w:rsid w:val="00972A4C"/>
    <w:rsid w:val="009736C0"/>
    <w:rsid w:val="009736F2"/>
    <w:rsid w:val="00973A09"/>
    <w:rsid w:val="00973B0F"/>
    <w:rsid w:val="00973E90"/>
    <w:rsid w:val="009744FB"/>
    <w:rsid w:val="00974A97"/>
    <w:rsid w:val="00975433"/>
    <w:rsid w:val="00975CEF"/>
    <w:rsid w:val="0097662D"/>
    <w:rsid w:val="009769DC"/>
    <w:rsid w:val="00976D43"/>
    <w:rsid w:val="00977A37"/>
    <w:rsid w:val="00981EA7"/>
    <w:rsid w:val="00982356"/>
    <w:rsid w:val="009829F6"/>
    <w:rsid w:val="00982CF9"/>
    <w:rsid w:val="00982E08"/>
    <w:rsid w:val="00983438"/>
    <w:rsid w:val="0098370B"/>
    <w:rsid w:val="00984176"/>
    <w:rsid w:val="00984B71"/>
    <w:rsid w:val="0098620A"/>
    <w:rsid w:val="0098663E"/>
    <w:rsid w:val="009871B6"/>
    <w:rsid w:val="00990211"/>
    <w:rsid w:val="00990B0C"/>
    <w:rsid w:val="00990B0D"/>
    <w:rsid w:val="00990FDD"/>
    <w:rsid w:val="009912B9"/>
    <w:rsid w:val="009915E3"/>
    <w:rsid w:val="009929C8"/>
    <w:rsid w:val="00992C38"/>
    <w:rsid w:val="00992CE9"/>
    <w:rsid w:val="00994723"/>
    <w:rsid w:val="00995109"/>
    <w:rsid w:val="009951C9"/>
    <w:rsid w:val="00995FD5"/>
    <w:rsid w:val="0099647A"/>
    <w:rsid w:val="00996741"/>
    <w:rsid w:val="00996F71"/>
    <w:rsid w:val="0099719D"/>
    <w:rsid w:val="00997A63"/>
    <w:rsid w:val="009A02E5"/>
    <w:rsid w:val="009A1097"/>
    <w:rsid w:val="009A10CA"/>
    <w:rsid w:val="009A1CA5"/>
    <w:rsid w:val="009A2ECE"/>
    <w:rsid w:val="009A3827"/>
    <w:rsid w:val="009A3AFB"/>
    <w:rsid w:val="009A3D60"/>
    <w:rsid w:val="009A4003"/>
    <w:rsid w:val="009A4457"/>
    <w:rsid w:val="009A4BBD"/>
    <w:rsid w:val="009A5030"/>
    <w:rsid w:val="009A62EA"/>
    <w:rsid w:val="009A65B2"/>
    <w:rsid w:val="009A6B0F"/>
    <w:rsid w:val="009A6EDC"/>
    <w:rsid w:val="009A7459"/>
    <w:rsid w:val="009A7C37"/>
    <w:rsid w:val="009B0080"/>
    <w:rsid w:val="009B0C19"/>
    <w:rsid w:val="009B258A"/>
    <w:rsid w:val="009B2AD5"/>
    <w:rsid w:val="009B2E70"/>
    <w:rsid w:val="009B3B5D"/>
    <w:rsid w:val="009B3CDD"/>
    <w:rsid w:val="009B3EC5"/>
    <w:rsid w:val="009B3EE2"/>
    <w:rsid w:val="009B444D"/>
    <w:rsid w:val="009B4BD0"/>
    <w:rsid w:val="009B56B1"/>
    <w:rsid w:val="009B5986"/>
    <w:rsid w:val="009B5A20"/>
    <w:rsid w:val="009B6A85"/>
    <w:rsid w:val="009B6FD6"/>
    <w:rsid w:val="009B74C2"/>
    <w:rsid w:val="009B7AAE"/>
    <w:rsid w:val="009B7FAA"/>
    <w:rsid w:val="009C194C"/>
    <w:rsid w:val="009C1A63"/>
    <w:rsid w:val="009C1B77"/>
    <w:rsid w:val="009C235E"/>
    <w:rsid w:val="009C243E"/>
    <w:rsid w:val="009C2D55"/>
    <w:rsid w:val="009C3033"/>
    <w:rsid w:val="009C3617"/>
    <w:rsid w:val="009C3B54"/>
    <w:rsid w:val="009C422C"/>
    <w:rsid w:val="009C60DB"/>
    <w:rsid w:val="009C6198"/>
    <w:rsid w:val="009C6939"/>
    <w:rsid w:val="009C6D85"/>
    <w:rsid w:val="009C6F2A"/>
    <w:rsid w:val="009C73DC"/>
    <w:rsid w:val="009D0132"/>
    <w:rsid w:val="009D0235"/>
    <w:rsid w:val="009D0935"/>
    <w:rsid w:val="009D2973"/>
    <w:rsid w:val="009D2E9E"/>
    <w:rsid w:val="009D366C"/>
    <w:rsid w:val="009D3DC2"/>
    <w:rsid w:val="009D4132"/>
    <w:rsid w:val="009D4B73"/>
    <w:rsid w:val="009D66F5"/>
    <w:rsid w:val="009D6938"/>
    <w:rsid w:val="009D6A5F"/>
    <w:rsid w:val="009D756F"/>
    <w:rsid w:val="009D7647"/>
    <w:rsid w:val="009E044A"/>
    <w:rsid w:val="009E07F8"/>
    <w:rsid w:val="009E09E4"/>
    <w:rsid w:val="009E0C30"/>
    <w:rsid w:val="009E0CA7"/>
    <w:rsid w:val="009E122C"/>
    <w:rsid w:val="009E1310"/>
    <w:rsid w:val="009E15DC"/>
    <w:rsid w:val="009E193C"/>
    <w:rsid w:val="009E1C3C"/>
    <w:rsid w:val="009E1C52"/>
    <w:rsid w:val="009E22F1"/>
    <w:rsid w:val="009E29A3"/>
    <w:rsid w:val="009E398A"/>
    <w:rsid w:val="009E3A21"/>
    <w:rsid w:val="009E41E0"/>
    <w:rsid w:val="009E4621"/>
    <w:rsid w:val="009E4EC0"/>
    <w:rsid w:val="009E51EC"/>
    <w:rsid w:val="009E5489"/>
    <w:rsid w:val="009E5D88"/>
    <w:rsid w:val="009E5FF5"/>
    <w:rsid w:val="009E6091"/>
    <w:rsid w:val="009E6258"/>
    <w:rsid w:val="009E6268"/>
    <w:rsid w:val="009E67EF"/>
    <w:rsid w:val="009E7177"/>
    <w:rsid w:val="009E73F2"/>
    <w:rsid w:val="009E764C"/>
    <w:rsid w:val="009E7E43"/>
    <w:rsid w:val="009E7E60"/>
    <w:rsid w:val="009F0383"/>
    <w:rsid w:val="009F0AC9"/>
    <w:rsid w:val="009F1589"/>
    <w:rsid w:val="009F1685"/>
    <w:rsid w:val="009F222D"/>
    <w:rsid w:val="009F2502"/>
    <w:rsid w:val="009F2C40"/>
    <w:rsid w:val="009F3055"/>
    <w:rsid w:val="009F4348"/>
    <w:rsid w:val="009F50F9"/>
    <w:rsid w:val="009F6D9E"/>
    <w:rsid w:val="009F6F19"/>
    <w:rsid w:val="009F7172"/>
    <w:rsid w:val="009F7F0D"/>
    <w:rsid w:val="009F7FBE"/>
    <w:rsid w:val="00A000FD"/>
    <w:rsid w:val="00A00FF0"/>
    <w:rsid w:val="00A016CF"/>
    <w:rsid w:val="00A016EF"/>
    <w:rsid w:val="00A01A91"/>
    <w:rsid w:val="00A01E08"/>
    <w:rsid w:val="00A02588"/>
    <w:rsid w:val="00A025DB"/>
    <w:rsid w:val="00A0314C"/>
    <w:rsid w:val="00A0320E"/>
    <w:rsid w:val="00A03380"/>
    <w:rsid w:val="00A03AAD"/>
    <w:rsid w:val="00A03B3A"/>
    <w:rsid w:val="00A041EC"/>
    <w:rsid w:val="00A052AA"/>
    <w:rsid w:val="00A06561"/>
    <w:rsid w:val="00A06746"/>
    <w:rsid w:val="00A067D9"/>
    <w:rsid w:val="00A06D00"/>
    <w:rsid w:val="00A06FB1"/>
    <w:rsid w:val="00A06FF7"/>
    <w:rsid w:val="00A1032D"/>
    <w:rsid w:val="00A1081C"/>
    <w:rsid w:val="00A10DE5"/>
    <w:rsid w:val="00A110EC"/>
    <w:rsid w:val="00A114CA"/>
    <w:rsid w:val="00A11B49"/>
    <w:rsid w:val="00A134C7"/>
    <w:rsid w:val="00A137A3"/>
    <w:rsid w:val="00A13DC7"/>
    <w:rsid w:val="00A146A5"/>
    <w:rsid w:val="00A14E4C"/>
    <w:rsid w:val="00A15551"/>
    <w:rsid w:val="00A160AD"/>
    <w:rsid w:val="00A17013"/>
    <w:rsid w:val="00A176AE"/>
    <w:rsid w:val="00A17A6E"/>
    <w:rsid w:val="00A17B3D"/>
    <w:rsid w:val="00A17DAF"/>
    <w:rsid w:val="00A17EBA"/>
    <w:rsid w:val="00A20388"/>
    <w:rsid w:val="00A20A09"/>
    <w:rsid w:val="00A21086"/>
    <w:rsid w:val="00A21FFE"/>
    <w:rsid w:val="00A22A47"/>
    <w:rsid w:val="00A232D6"/>
    <w:rsid w:val="00A23712"/>
    <w:rsid w:val="00A238F7"/>
    <w:rsid w:val="00A23922"/>
    <w:rsid w:val="00A2443E"/>
    <w:rsid w:val="00A249D3"/>
    <w:rsid w:val="00A24DA5"/>
    <w:rsid w:val="00A2502C"/>
    <w:rsid w:val="00A255DE"/>
    <w:rsid w:val="00A2569B"/>
    <w:rsid w:val="00A25B39"/>
    <w:rsid w:val="00A260C6"/>
    <w:rsid w:val="00A2654F"/>
    <w:rsid w:val="00A266E5"/>
    <w:rsid w:val="00A27518"/>
    <w:rsid w:val="00A3015A"/>
    <w:rsid w:val="00A30DCF"/>
    <w:rsid w:val="00A31554"/>
    <w:rsid w:val="00A31F96"/>
    <w:rsid w:val="00A321DA"/>
    <w:rsid w:val="00A32837"/>
    <w:rsid w:val="00A32D6B"/>
    <w:rsid w:val="00A33834"/>
    <w:rsid w:val="00A33B24"/>
    <w:rsid w:val="00A33EDA"/>
    <w:rsid w:val="00A34704"/>
    <w:rsid w:val="00A35051"/>
    <w:rsid w:val="00A35DBA"/>
    <w:rsid w:val="00A35E94"/>
    <w:rsid w:val="00A36833"/>
    <w:rsid w:val="00A36E39"/>
    <w:rsid w:val="00A37818"/>
    <w:rsid w:val="00A3789F"/>
    <w:rsid w:val="00A37970"/>
    <w:rsid w:val="00A37BBD"/>
    <w:rsid w:val="00A37F17"/>
    <w:rsid w:val="00A40E3B"/>
    <w:rsid w:val="00A40EA6"/>
    <w:rsid w:val="00A415E1"/>
    <w:rsid w:val="00A41B67"/>
    <w:rsid w:val="00A43B95"/>
    <w:rsid w:val="00A43D2A"/>
    <w:rsid w:val="00A43E52"/>
    <w:rsid w:val="00A441BB"/>
    <w:rsid w:val="00A441F6"/>
    <w:rsid w:val="00A4443A"/>
    <w:rsid w:val="00A44CA6"/>
    <w:rsid w:val="00A44D3E"/>
    <w:rsid w:val="00A456AF"/>
    <w:rsid w:val="00A46ACA"/>
    <w:rsid w:val="00A46CC1"/>
    <w:rsid w:val="00A46DFC"/>
    <w:rsid w:val="00A46F1B"/>
    <w:rsid w:val="00A4718E"/>
    <w:rsid w:val="00A471B3"/>
    <w:rsid w:val="00A4766A"/>
    <w:rsid w:val="00A479DA"/>
    <w:rsid w:val="00A47B0B"/>
    <w:rsid w:val="00A5080A"/>
    <w:rsid w:val="00A52C86"/>
    <w:rsid w:val="00A52DAD"/>
    <w:rsid w:val="00A53124"/>
    <w:rsid w:val="00A53265"/>
    <w:rsid w:val="00A5329E"/>
    <w:rsid w:val="00A54031"/>
    <w:rsid w:val="00A54032"/>
    <w:rsid w:val="00A541EB"/>
    <w:rsid w:val="00A548B9"/>
    <w:rsid w:val="00A554CE"/>
    <w:rsid w:val="00A5551E"/>
    <w:rsid w:val="00A55894"/>
    <w:rsid w:val="00A5679B"/>
    <w:rsid w:val="00A56849"/>
    <w:rsid w:val="00A57A9E"/>
    <w:rsid w:val="00A57C7D"/>
    <w:rsid w:val="00A605BA"/>
    <w:rsid w:val="00A60F8C"/>
    <w:rsid w:val="00A61193"/>
    <w:rsid w:val="00A6162A"/>
    <w:rsid w:val="00A61EDC"/>
    <w:rsid w:val="00A63965"/>
    <w:rsid w:val="00A63DA3"/>
    <w:rsid w:val="00A66000"/>
    <w:rsid w:val="00A66C92"/>
    <w:rsid w:val="00A67859"/>
    <w:rsid w:val="00A7010B"/>
    <w:rsid w:val="00A70AEB"/>
    <w:rsid w:val="00A70DB7"/>
    <w:rsid w:val="00A70FBB"/>
    <w:rsid w:val="00A7188D"/>
    <w:rsid w:val="00A719D4"/>
    <w:rsid w:val="00A71F9E"/>
    <w:rsid w:val="00A71FEB"/>
    <w:rsid w:val="00A71FFE"/>
    <w:rsid w:val="00A7318A"/>
    <w:rsid w:val="00A73778"/>
    <w:rsid w:val="00A75040"/>
    <w:rsid w:val="00A766E4"/>
    <w:rsid w:val="00A7674B"/>
    <w:rsid w:val="00A76782"/>
    <w:rsid w:val="00A768E2"/>
    <w:rsid w:val="00A776A2"/>
    <w:rsid w:val="00A779DE"/>
    <w:rsid w:val="00A77A29"/>
    <w:rsid w:val="00A77B8D"/>
    <w:rsid w:val="00A77C72"/>
    <w:rsid w:val="00A80012"/>
    <w:rsid w:val="00A8069F"/>
    <w:rsid w:val="00A80AE8"/>
    <w:rsid w:val="00A80B6F"/>
    <w:rsid w:val="00A81131"/>
    <w:rsid w:val="00A8230A"/>
    <w:rsid w:val="00A82382"/>
    <w:rsid w:val="00A82839"/>
    <w:rsid w:val="00A82963"/>
    <w:rsid w:val="00A83347"/>
    <w:rsid w:val="00A83443"/>
    <w:rsid w:val="00A83682"/>
    <w:rsid w:val="00A839F3"/>
    <w:rsid w:val="00A83DCC"/>
    <w:rsid w:val="00A844AE"/>
    <w:rsid w:val="00A84649"/>
    <w:rsid w:val="00A84681"/>
    <w:rsid w:val="00A84E2A"/>
    <w:rsid w:val="00A85125"/>
    <w:rsid w:val="00A8606A"/>
    <w:rsid w:val="00A86D5C"/>
    <w:rsid w:val="00A86DDB"/>
    <w:rsid w:val="00A87111"/>
    <w:rsid w:val="00A90318"/>
    <w:rsid w:val="00A905E1"/>
    <w:rsid w:val="00A9088F"/>
    <w:rsid w:val="00A908E3"/>
    <w:rsid w:val="00A91337"/>
    <w:rsid w:val="00A92117"/>
    <w:rsid w:val="00A928FC"/>
    <w:rsid w:val="00A92D3A"/>
    <w:rsid w:val="00A932E4"/>
    <w:rsid w:val="00A9356D"/>
    <w:rsid w:val="00A93DBB"/>
    <w:rsid w:val="00A94804"/>
    <w:rsid w:val="00A94A2E"/>
    <w:rsid w:val="00A94F2E"/>
    <w:rsid w:val="00A9656F"/>
    <w:rsid w:val="00A975EC"/>
    <w:rsid w:val="00A97A27"/>
    <w:rsid w:val="00A97B04"/>
    <w:rsid w:val="00AA080F"/>
    <w:rsid w:val="00AA0D4B"/>
    <w:rsid w:val="00AA186F"/>
    <w:rsid w:val="00AA1D69"/>
    <w:rsid w:val="00AA26C9"/>
    <w:rsid w:val="00AA2A1B"/>
    <w:rsid w:val="00AA2AD2"/>
    <w:rsid w:val="00AA33AF"/>
    <w:rsid w:val="00AA3A36"/>
    <w:rsid w:val="00AA3E93"/>
    <w:rsid w:val="00AA4719"/>
    <w:rsid w:val="00AA5C02"/>
    <w:rsid w:val="00AA5C0D"/>
    <w:rsid w:val="00AA5E8E"/>
    <w:rsid w:val="00AA5FD8"/>
    <w:rsid w:val="00AA64BD"/>
    <w:rsid w:val="00AA677C"/>
    <w:rsid w:val="00AA6C97"/>
    <w:rsid w:val="00AA73D4"/>
    <w:rsid w:val="00AA7BFB"/>
    <w:rsid w:val="00AB011A"/>
    <w:rsid w:val="00AB031A"/>
    <w:rsid w:val="00AB03E3"/>
    <w:rsid w:val="00AB06A9"/>
    <w:rsid w:val="00AB091A"/>
    <w:rsid w:val="00AB27C0"/>
    <w:rsid w:val="00AB2E1C"/>
    <w:rsid w:val="00AB3627"/>
    <w:rsid w:val="00AB3749"/>
    <w:rsid w:val="00AB3B4B"/>
    <w:rsid w:val="00AB4BC3"/>
    <w:rsid w:val="00AB541D"/>
    <w:rsid w:val="00AB5542"/>
    <w:rsid w:val="00AB62E9"/>
    <w:rsid w:val="00AB6B18"/>
    <w:rsid w:val="00AB75FC"/>
    <w:rsid w:val="00AB7644"/>
    <w:rsid w:val="00AB7A2C"/>
    <w:rsid w:val="00AB7A34"/>
    <w:rsid w:val="00AB7E42"/>
    <w:rsid w:val="00AB7F96"/>
    <w:rsid w:val="00AC07DE"/>
    <w:rsid w:val="00AC1024"/>
    <w:rsid w:val="00AC117A"/>
    <w:rsid w:val="00AC1786"/>
    <w:rsid w:val="00AC1E36"/>
    <w:rsid w:val="00AC2EF2"/>
    <w:rsid w:val="00AC3049"/>
    <w:rsid w:val="00AC3341"/>
    <w:rsid w:val="00AC3FE0"/>
    <w:rsid w:val="00AC59F6"/>
    <w:rsid w:val="00AC6460"/>
    <w:rsid w:val="00AC6C96"/>
    <w:rsid w:val="00AC6CED"/>
    <w:rsid w:val="00AC6F08"/>
    <w:rsid w:val="00AC70F6"/>
    <w:rsid w:val="00AC748A"/>
    <w:rsid w:val="00AC7C45"/>
    <w:rsid w:val="00AD15B8"/>
    <w:rsid w:val="00AD1A9F"/>
    <w:rsid w:val="00AD1CC4"/>
    <w:rsid w:val="00AD1E41"/>
    <w:rsid w:val="00AD211D"/>
    <w:rsid w:val="00AD2132"/>
    <w:rsid w:val="00AD268A"/>
    <w:rsid w:val="00AD2BDF"/>
    <w:rsid w:val="00AD3059"/>
    <w:rsid w:val="00AD30F4"/>
    <w:rsid w:val="00AD3292"/>
    <w:rsid w:val="00AD3B27"/>
    <w:rsid w:val="00AD40A5"/>
    <w:rsid w:val="00AD4C32"/>
    <w:rsid w:val="00AD5630"/>
    <w:rsid w:val="00AD5AF1"/>
    <w:rsid w:val="00AD5B42"/>
    <w:rsid w:val="00AD6BC2"/>
    <w:rsid w:val="00AD722B"/>
    <w:rsid w:val="00AD7431"/>
    <w:rsid w:val="00AD74DD"/>
    <w:rsid w:val="00AD7DDA"/>
    <w:rsid w:val="00AE0441"/>
    <w:rsid w:val="00AE0C75"/>
    <w:rsid w:val="00AE1A9C"/>
    <w:rsid w:val="00AE1ABF"/>
    <w:rsid w:val="00AE1D43"/>
    <w:rsid w:val="00AE21C9"/>
    <w:rsid w:val="00AE2504"/>
    <w:rsid w:val="00AE2D18"/>
    <w:rsid w:val="00AE5132"/>
    <w:rsid w:val="00AE5224"/>
    <w:rsid w:val="00AE545F"/>
    <w:rsid w:val="00AE645C"/>
    <w:rsid w:val="00AE6705"/>
    <w:rsid w:val="00AE6ADB"/>
    <w:rsid w:val="00AE6D8C"/>
    <w:rsid w:val="00AE6DED"/>
    <w:rsid w:val="00AF043F"/>
    <w:rsid w:val="00AF0950"/>
    <w:rsid w:val="00AF0A2E"/>
    <w:rsid w:val="00AF0DF7"/>
    <w:rsid w:val="00AF10BE"/>
    <w:rsid w:val="00AF1D3C"/>
    <w:rsid w:val="00AF2287"/>
    <w:rsid w:val="00AF252C"/>
    <w:rsid w:val="00AF2D91"/>
    <w:rsid w:val="00AF31F8"/>
    <w:rsid w:val="00AF32C0"/>
    <w:rsid w:val="00AF4153"/>
    <w:rsid w:val="00AF423B"/>
    <w:rsid w:val="00AF4BE2"/>
    <w:rsid w:val="00AF4DB9"/>
    <w:rsid w:val="00AF504E"/>
    <w:rsid w:val="00AF5055"/>
    <w:rsid w:val="00AF527F"/>
    <w:rsid w:val="00AF5694"/>
    <w:rsid w:val="00AF628D"/>
    <w:rsid w:val="00B0098D"/>
    <w:rsid w:val="00B00ADE"/>
    <w:rsid w:val="00B00CF9"/>
    <w:rsid w:val="00B01368"/>
    <w:rsid w:val="00B0186C"/>
    <w:rsid w:val="00B01A99"/>
    <w:rsid w:val="00B01E00"/>
    <w:rsid w:val="00B02152"/>
    <w:rsid w:val="00B0284D"/>
    <w:rsid w:val="00B02FF7"/>
    <w:rsid w:val="00B041BF"/>
    <w:rsid w:val="00B04A18"/>
    <w:rsid w:val="00B04B90"/>
    <w:rsid w:val="00B05515"/>
    <w:rsid w:val="00B05653"/>
    <w:rsid w:val="00B05819"/>
    <w:rsid w:val="00B05E3B"/>
    <w:rsid w:val="00B0750E"/>
    <w:rsid w:val="00B0753B"/>
    <w:rsid w:val="00B0763E"/>
    <w:rsid w:val="00B07E8C"/>
    <w:rsid w:val="00B1099A"/>
    <w:rsid w:val="00B10B7F"/>
    <w:rsid w:val="00B10BBA"/>
    <w:rsid w:val="00B11380"/>
    <w:rsid w:val="00B117C4"/>
    <w:rsid w:val="00B11C7B"/>
    <w:rsid w:val="00B121EF"/>
    <w:rsid w:val="00B13B0B"/>
    <w:rsid w:val="00B142DA"/>
    <w:rsid w:val="00B148BF"/>
    <w:rsid w:val="00B149ED"/>
    <w:rsid w:val="00B14A99"/>
    <w:rsid w:val="00B14D82"/>
    <w:rsid w:val="00B14E82"/>
    <w:rsid w:val="00B14EB8"/>
    <w:rsid w:val="00B150BA"/>
    <w:rsid w:val="00B155C8"/>
    <w:rsid w:val="00B16476"/>
    <w:rsid w:val="00B1692F"/>
    <w:rsid w:val="00B16E72"/>
    <w:rsid w:val="00B16EF8"/>
    <w:rsid w:val="00B16FAD"/>
    <w:rsid w:val="00B1751F"/>
    <w:rsid w:val="00B1783C"/>
    <w:rsid w:val="00B17E76"/>
    <w:rsid w:val="00B17F3A"/>
    <w:rsid w:val="00B2122A"/>
    <w:rsid w:val="00B22A7A"/>
    <w:rsid w:val="00B22CFC"/>
    <w:rsid w:val="00B23063"/>
    <w:rsid w:val="00B2396E"/>
    <w:rsid w:val="00B23EAA"/>
    <w:rsid w:val="00B23F65"/>
    <w:rsid w:val="00B24750"/>
    <w:rsid w:val="00B25E95"/>
    <w:rsid w:val="00B266FE"/>
    <w:rsid w:val="00B268FE"/>
    <w:rsid w:val="00B27D89"/>
    <w:rsid w:val="00B303C9"/>
    <w:rsid w:val="00B30688"/>
    <w:rsid w:val="00B316AB"/>
    <w:rsid w:val="00B317F9"/>
    <w:rsid w:val="00B3306E"/>
    <w:rsid w:val="00B33D61"/>
    <w:rsid w:val="00B34232"/>
    <w:rsid w:val="00B34425"/>
    <w:rsid w:val="00B34556"/>
    <w:rsid w:val="00B346CB"/>
    <w:rsid w:val="00B34AEA"/>
    <w:rsid w:val="00B3587F"/>
    <w:rsid w:val="00B3686A"/>
    <w:rsid w:val="00B36A83"/>
    <w:rsid w:val="00B371CE"/>
    <w:rsid w:val="00B37377"/>
    <w:rsid w:val="00B37963"/>
    <w:rsid w:val="00B401C4"/>
    <w:rsid w:val="00B413B7"/>
    <w:rsid w:val="00B42137"/>
    <w:rsid w:val="00B42346"/>
    <w:rsid w:val="00B42A05"/>
    <w:rsid w:val="00B4368E"/>
    <w:rsid w:val="00B436F1"/>
    <w:rsid w:val="00B43878"/>
    <w:rsid w:val="00B43A76"/>
    <w:rsid w:val="00B44842"/>
    <w:rsid w:val="00B452FE"/>
    <w:rsid w:val="00B4567E"/>
    <w:rsid w:val="00B4617F"/>
    <w:rsid w:val="00B463DC"/>
    <w:rsid w:val="00B469A8"/>
    <w:rsid w:val="00B46C3B"/>
    <w:rsid w:val="00B47C41"/>
    <w:rsid w:val="00B47F7F"/>
    <w:rsid w:val="00B50D68"/>
    <w:rsid w:val="00B5133C"/>
    <w:rsid w:val="00B519B5"/>
    <w:rsid w:val="00B527D3"/>
    <w:rsid w:val="00B52A45"/>
    <w:rsid w:val="00B52D89"/>
    <w:rsid w:val="00B52E23"/>
    <w:rsid w:val="00B538B4"/>
    <w:rsid w:val="00B5529A"/>
    <w:rsid w:val="00B5537B"/>
    <w:rsid w:val="00B5584F"/>
    <w:rsid w:val="00B563E1"/>
    <w:rsid w:val="00B56414"/>
    <w:rsid w:val="00B56DCE"/>
    <w:rsid w:val="00B573F6"/>
    <w:rsid w:val="00B5752E"/>
    <w:rsid w:val="00B5786C"/>
    <w:rsid w:val="00B6034A"/>
    <w:rsid w:val="00B60AEC"/>
    <w:rsid w:val="00B61356"/>
    <w:rsid w:val="00B613B9"/>
    <w:rsid w:val="00B614CE"/>
    <w:rsid w:val="00B61539"/>
    <w:rsid w:val="00B618C8"/>
    <w:rsid w:val="00B61EFD"/>
    <w:rsid w:val="00B6227E"/>
    <w:rsid w:val="00B62F02"/>
    <w:rsid w:val="00B63783"/>
    <w:rsid w:val="00B6386C"/>
    <w:rsid w:val="00B6421A"/>
    <w:rsid w:val="00B65380"/>
    <w:rsid w:val="00B655AC"/>
    <w:rsid w:val="00B65ECA"/>
    <w:rsid w:val="00B661CE"/>
    <w:rsid w:val="00B669EC"/>
    <w:rsid w:val="00B7016B"/>
    <w:rsid w:val="00B704A8"/>
    <w:rsid w:val="00B70D5D"/>
    <w:rsid w:val="00B71389"/>
    <w:rsid w:val="00B719FB"/>
    <w:rsid w:val="00B7291B"/>
    <w:rsid w:val="00B73230"/>
    <w:rsid w:val="00B73776"/>
    <w:rsid w:val="00B73B22"/>
    <w:rsid w:val="00B74853"/>
    <w:rsid w:val="00B74859"/>
    <w:rsid w:val="00B74B6C"/>
    <w:rsid w:val="00B7563C"/>
    <w:rsid w:val="00B75795"/>
    <w:rsid w:val="00B759E9"/>
    <w:rsid w:val="00B75D9A"/>
    <w:rsid w:val="00B76318"/>
    <w:rsid w:val="00B766BC"/>
    <w:rsid w:val="00B7764E"/>
    <w:rsid w:val="00B80005"/>
    <w:rsid w:val="00B80012"/>
    <w:rsid w:val="00B8012D"/>
    <w:rsid w:val="00B80237"/>
    <w:rsid w:val="00B8025B"/>
    <w:rsid w:val="00B803EA"/>
    <w:rsid w:val="00B80EBF"/>
    <w:rsid w:val="00B813AA"/>
    <w:rsid w:val="00B81551"/>
    <w:rsid w:val="00B817E9"/>
    <w:rsid w:val="00B82744"/>
    <w:rsid w:val="00B835F6"/>
    <w:rsid w:val="00B8473D"/>
    <w:rsid w:val="00B8474C"/>
    <w:rsid w:val="00B84948"/>
    <w:rsid w:val="00B84C73"/>
    <w:rsid w:val="00B85491"/>
    <w:rsid w:val="00B857EF"/>
    <w:rsid w:val="00B8586E"/>
    <w:rsid w:val="00B85A04"/>
    <w:rsid w:val="00B86536"/>
    <w:rsid w:val="00B86E6F"/>
    <w:rsid w:val="00B87A42"/>
    <w:rsid w:val="00B87A61"/>
    <w:rsid w:val="00B87DB3"/>
    <w:rsid w:val="00B903CA"/>
    <w:rsid w:val="00B90A58"/>
    <w:rsid w:val="00B914CB"/>
    <w:rsid w:val="00B915F1"/>
    <w:rsid w:val="00B92250"/>
    <w:rsid w:val="00B9229F"/>
    <w:rsid w:val="00B92BC2"/>
    <w:rsid w:val="00B92EC7"/>
    <w:rsid w:val="00B93CCB"/>
    <w:rsid w:val="00B93CD9"/>
    <w:rsid w:val="00B9461F"/>
    <w:rsid w:val="00B94D70"/>
    <w:rsid w:val="00B952D0"/>
    <w:rsid w:val="00B95C12"/>
    <w:rsid w:val="00B9638C"/>
    <w:rsid w:val="00B966A8"/>
    <w:rsid w:val="00B96FC0"/>
    <w:rsid w:val="00B97007"/>
    <w:rsid w:val="00B97608"/>
    <w:rsid w:val="00B976BC"/>
    <w:rsid w:val="00B9787F"/>
    <w:rsid w:val="00B9793F"/>
    <w:rsid w:val="00BA02AF"/>
    <w:rsid w:val="00BA0F44"/>
    <w:rsid w:val="00BA13A8"/>
    <w:rsid w:val="00BA151F"/>
    <w:rsid w:val="00BA1589"/>
    <w:rsid w:val="00BA181D"/>
    <w:rsid w:val="00BA2397"/>
    <w:rsid w:val="00BA2445"/>
    <w:rsid w:val="00BA268D"/>
    <w:rsid w:val="00BA3443"/>
    <w:rsid w:val="00BA51B8"/>
    <w:rsid w:val="00BA5417"/>
    <w:rsid w:val="00BA5587"/>
    <w:rsid w:val="00BA5CDA"/>
    <w:rsid w:val="00BA718E"/>
    <w:rsid w:val="00BA7A61"/>
    <w:rsid w:val="00BB1F15"/>
    <w:rsid w:val="00BB26D5"/>
    <w:rsid w:val="00BB2765"/>
    <w:rsid w:val="00BB2DD8"/>
    <w:rsid w:val="00BB4674"/>
    <w:rsid w:val="00BB4857"/>
    <w:rsid w:val="00BB4990"/>
    <w:rsid w:val="00BB4994"/>
    <w:rsid w:val="00BB4D48"/>
    <w:rsid w:val="00BB5226"/>
    <w:rsid w:val="00BB5AA1"/>
    <w:rsid w:val="00BB5E77"/>
    <w:rsid w:val="00BB6710"/>
    <w:rsid w:val="00BB6761"/>
    <w:rsid w:val="00BB6889"/>
    <w:rsid w:val="00BB77A1"/>
    <w:rsid w:val="00BC024B"/>
    <w:rsid w:val="00BC08E2"/>
    <w:rsid w:val="00BC102C"/>
    <w:rsid w:val="00BC144C"/>
    <w:rsid w:val="00BC163D"/>
    <w:rsid w:val="00BC19EE"/>
    <w:rsid w:val="00BC1CCE"/>
    <w:rsid w:val="00BC1DCF"/>
    <w:rsid w:val="00BC2788"/>
    <w:rsid w:val="00BC3289"/>
    <w:rsid w:val="00BC40F5"/>
    <w:rsid w:val="00BC431C"/>
    <w:rsid w:val="00BC4DAF"/>
    <w:rsid w:val="00BC5007"/>
    <w:rsid w:val="00BC505F"/>
    <w:rsid w:val="00BC541D"/>
    <w:rsid w:val="00BC5A4B"/>
    <w:rsid w:val="00BC69ED"/>
    <w:rsid w:val="00BC702B"/>
    <w:rsid w:val="00BC7F08"/>
    <w:rsid w:val="00BD04B8"/>
    <w:rsid w:val="00BD0932"/>
    <w:rsid w:val="00BD0BB1"/>
    <w:rsid w:val="00BD10B6"/>
    <w:rsid w:val="00BD1C7E"/>
    <w:rsid w:val="00BD20CA"/>
    <w:rsid w:val="00BD2B9D"/>
    <w:rsid w:val="00BD2C12"/>
    <w:rsid w:val="00BD2F96"/>
    <w:rsid w:val="00BD3150"/>
    <w:rsid w:val="00BD3441"/>
    <w:rsid w:val="00BD4035"/>
    <w:rsid w:val="00BD478A"/>
    <w:rsid w:val="00BD5D3C"/>
    <w:rsid w:val="00BD69BD"/>
    <w:rsid w:val="00BD6E7E"/>
    <w:rsid w:val="00BE06AD"/>
    <w:rsid w:val="00BE0C18"/>
    <w:rsid w:val="00BE0DD5"/>
    <w:rsid w:val="00BE1331"/>
    <w:rsid w:val="00BE1793"/>
    <w:rsid w:val="00BE20C3"/>
    <w:rsid w:val="00BE2143"/>
    <w:rsid w:val="00BE2EA7"/>
    <w:rsid w:val="00BE4A4D"/>
    <w:rsid w:val="00BE4CE3"/>
    <w:rsid w:val="00BE547B"/>
    <w:rsid w:val="00BE58D2"/>
    <w:rsid w:val="00BE5927"/>
    <w:rsid w:val="00BE6B96"/>
    <w:rsid w:val="00BE705E"/>
    <w:rsid w:val="00BF042A"/>
    <w:rsid w:val="00BF08ED"/>
    <w:rsid w:val="00BF0C29"/>
    <w:rsid w:val="00BF1042"/>
    <w:rsid w:val="00BF107E"/>
    <w:rsid w:val="00BF1467"/>
    <w:rsid w:val="00BF1809"/>
    <w:rsid w:val="00BF2495"/>
    <w:rsid w:val="00BF2A16"/>
    <w:rsid w:val="00BF2D6F"/>
    <w:rsid w:val="00BF2E99"/>
    <w:rsid w:val="00BF3158"/>
    <w:rsid w:val="00BF3283"/>
    <w:rsid w:val="00BF330A"/>
    <w:rsid w:val="00BF3AF3"/>
    <w:rsid w:val="00BF4886"/>
    <w:rsid w:val="00BF488F"/>
    <w:rsid w:val="00BF4B35"/>
    <w:rsid w:val="00BF4C18"/>
    <w:rsid w:val="00BF5961"/>
    <w:rsid w:val="00BF5E24"/>
    <w:rsid w:val="00BF64F2"/>
    <w:rsid w:val="00BF6C89"/>
    <w:rsid w:val="00BF6F15"/>
    <w:rsid w:val="00BF75BD"/>
    <w:rsid w:val="00BF76DF"/>
    <w:rsid w:val="00C011FC"/>
    <w:rsid w:val="00C016E5"/>
    <w:rsid w:val="00C01A34"/>
    <w:rsid w:val="00C01B7B"/>
    <w:rsid w:val="00C01F81"/>
    <w:rsid w:val="00C02611"/>
    <w:rsid w:val="00C02DCF"/>
    <w:rsid w:val="00C02E4C"/>
    <w:rsid w:val="00C0329E"/>
    <w:rsid w:val="00C03F68"/>
    <w:rsid w:val="00C041DD"/>
    <w:rsid w:val="00C043C5"/>
    <w:rsid w:val="00C04913"/>
    <w:rsid w:val="00C04DD5"/>
    <w:rsid w:val="00C054E5"/>
    <w:rsid w:val="00C056F1"/>
    <w:rsid w:val="00C05A2E"/>
    <w:rsid w:val="00C05D3A"/>
    <w:rsid w:val="00C0642F"/>
    <w:rsid w:val="00C07EB3"/>
    <w:rsid w:val="00C10469"/>
    <w:rsid w:val="00C108B6"/>
    <w:rsid w:val="00C108C4"/>
    <w:rsid w:val="00C10D03"/>
    <w:rsid w:val="00C116EA"/>
    <w:rsid w:val="00C11D8A"/>
    <w:rsid w:val="00C13470"/>
    <w:rsid w:val="00C143B1"/>
    <w:rsid w:val="00C143DE"/>
    <w:rsid w:val="00C14414"/>
    <w:rsid w:val="00C147C7"/>
    <w:rsid w:val="00C149B2"/>
    <w:rsid w:val="00C14C2A"/>
    <w:rsid w:val="00C14CF9"/>
    <w:rsid w:val="00C1504D"/>
    <w:rsid w:val="00C15867"/>
    <w:rsid w:val="00C16261"/>
    <w:rsid w:val="00C16537"/>
    <w:rsid w:val="00C16679"/>
    <w:rsid w:val="00C17004"/>
    <w:rsid w:val="00C1739E"/>
    <w:rsid w:val="00C21081"/>
    <w:rsid w:val="00C2250F"/>
    <w:rsid w:val="00C2274E"/>
    <w:rsid w:val="00C227B4"/>
    <w:rsid w:val="00C2281A"/>
    <w:rsid w:val="00C22919"/>
    <w:rsid w:val="00C231DC"/>
    <w:rsid w:val="00C240C4"/>
    <w:rsid w:val="00C24D9D"/>
    <w:rsid w:val="00C2506A"/>
    <w:rsid w:val="00C256D0"/>
    <w:rsid w:val="00C25AEC"/>
    <w:rsid w:val="00C25F78"/>
    <w:rsid w:val="00C26E9D"/>
    <w:rsid w:val="00C26F9D"/>
    <w:rsid w:val="00C279B5"/>
    <w:rsid w:val="00C31355"/>
    <w:rsid w:val="00C31775"/>
    <w:rsid w:val="00C31BAC"/>
    <w:rsid w:val="00C322C1"/>
    <w:rsid w:val="00C32D43"/>
    <w:rsid w:val="00C33670"/>
    <w:rsid w:val="00C337F3"/>
    <w:rsid w:val="00C34B48"/>
    <w:rsid w:val="00C35200"/>
    <w:rsid w:val="00C355C9"/>
    <w:rsid w:val="00C359FF"/>
    <w:rsid w:val="00C35B76"/>
    <w:rsid w:val="00C361BF"/>
    <w:rsid w:val="00C3628F"/>
    <w:rsid w:val="00C3648D"/>
    <w:rsid w:val="00C36A4B"/>
    <w:rsid w:val="00C37005"/>
    <w:rsid w:val="00C3735E"/>
    <w:rsid w:val="00C37395"/>
    <w:rsid w:val="00C377D7"/>
    <w:rsid w:val="00C37801"/>
    <w:rsid w:val="00C4035B"/>
    <w:rsid w:val="00C40A8F"/>
    <w:rsid w:val="00C416D2"/>
    <w:rsid w:val="00C416E6"/>
    <w:rsid w:val="00C41836"/>
    <w:rsid w:val="00C4221C"/>
    <w:rsid w:val="00C427E0"/>
    <w:rsid w:val="00C428E7"/>
    <w:rsid w:val="00C42A48"/>
    <w:rsid w:val="00C42DA0"/>
    <w:rsid w:val="00C43B17"/>
    <w:rsid w:val="00C4408E"/>
    <w:rsid w:val="00C44151"/>
    <w:rsid w:val="00C449C1"/>
    <w:rsid w:val="00C44A9A"/>
    <w:rsid w:val="00C44AA5"/>
    <w:rsid w:val="00C44E7D"/>
    <w:rsid w:val="00C44E80"/>
    <w:rsid w:val="00C44FBE"/>
    <w:rsid w:val="00C458E6"/>
    <w:rsid w:val="00C4679F"/>
    <w:rsid w:val="00C4732B"/>
    <w:rsid w:val="00C47573"/>
    <w:rsid w:val="00C47F56"/>
    <w:rsid w:val="00C51153"/>
    <w:rsid w:val="00C51C7C"/>
    <w:rsid w:val="00C525D0"/>
    <w:rsid w:val="00C528AC"/>
    <w:rsid w:val="00C52DEE"/>
    <w:rsid w:val="00C532F4"/>
    <w:rsid w:val="00C53442"/>
    <w:rsid w:val="00C53561"/>
    <w:rsid w:val="00C53873"/>
    <w:rsid w:val="00C53956"/>
    <w:rsid w:val="00C53F6A"/>
    <w:rsid w:val="00C54225"/>
    <w:rsid w:val="00C5429F"/>
    <w:rsid w:val="00C5519D"/>
    <w:rsid w:val="00C561B6"/>
    <w:rsid w:val="00C56605"/>
    <w:rsid w:val="00C568A4"/>
    <w:rsid w:val="00C56AA9"/>
    <w:rsid w:val="00C56C5B"/>
    <w:rsid w:val="00C575D8"/>
    <w:rsid w:val="00C60A69"/>
    <w:rsid w:val="00C61543"/>
    <w:rsid w:val="00C61A72"/>
    <w:rsid w:val="00C624DB"/>
    <w:rsid w:val="00C6278C"/>
    <w:rsid w:val="00C63B4B"/>
    <w:rsid w:val="00C6464B"/>
    <w:rsid w:val="00C6511E"/>
    <w:rsid w:val="00C65999"/>
    <w:rsid w:val="00C6603D"/>
    <w:rsid w:val="00C667F2"/>
    <w:rsid w:val="00C66E45"/>
    <w:rsid w:val="00C6749A"/>
    <w:rsid w:val="00C67FAE"/>
    <w:rsid w:val="00C71153"/>
    <w:rsid w:val="00C71926"/>
    <w:rsid w:val="00C71A2D"/>
    <w:rsid w:val="00C7208C"/>
    <w:rsid w:val="00C72BCC"/>
    <w:rsid w:val="00C72D4B"/>
    <w:rsid w:val="00C72E45"/>
    <w:rsid w:val="00C72E9E"/>
    <w:rsid w:val="00C73BD1"/>
    <w:rsid w:val="00C741B6"/>
    <w:rsid w:val="00C744EB"/>
    <w:rsid w:val="00C74928"/>
    <w:rsid w:val="00C74B00"/>
    <w:rsid w:val="00C7507B"/>
    <w:rsid w:val="00C752E0"/>
    <w:rsid w:val="00C7594C"/>
    <w:rsid w:val="00C75ABA"/>
    <w:rsid w:val="00C75B0C"/>
    <w:rsid w:val="00C76310"/>
    <w:rsid w:val="00C76B92"/>
    <w:rsid w:val="00C77807"/>
    <w:rsid w:val="00C80C7A"/>
    <w:rsid w:val="00C81029"/>
    <w:rsid w:val="00C81B7D"/>
    <w:rsid w:val="00C8236C"/>
    <w:rsid w:val="00C82A29"/>
    <w:rsid w:val="00C82BAF"/>
    <w:rsid w:val="00C841FD"/>
    <w:rsid w:val="00C842F0"/>
    <w:rsid w:val="00C853FF"/>
    <w:rsid w:val="00C85996"/>
    <w:rsid w:val="00C85E87"/>
    <w:rsid w:val="00C8620D"/>
    <w:rsid w:val="00C8646E"/>
    <w:rsid w:val="00C8686B"/>
    <w:rsid w:val="00C86A6D"/>
    <w:rsid w:val="00C86ED8"/>
    <w:rsid w:val="00C86EFA"/>
    <w:rsid w:val="00C87023"/>
    <w:rsid w:val="00C873C0"/>
    <w:rsid w:val="00C879AC"/>
    <w:rsid w:val="00C904D4"/>
    <w:rsid w:val="00C90B5C"/>
    <w:rsid w:val="00C90FA8"/>
    <w:rsid w:val="00C913A0"/>
    <w:rsid w:val="00C91A5C"/>
    <w:rsid w:val="00C929A2"/>
    <w:rsid w:val="00C92B80"/>
    <w:rsid w:val="00C92C17"/>
    <w:rsid w:val="00C92CBA"/>
    <w:rsid w:val="00C92F98"/>
    <w:rsid w:val="00C9304F"/>
    <w:rsid w:val="00C93B3F"/>
    <w:rsid w:val="00C93D55"/>
    <w:rsid w:val="00C9508C"/>
    <w:rsid w:val="00C95CDA"/>
    <w:rsid w:val="00C962C9"/>
    <w:rsid w:val="00C963B7"/>
    <w:rsid w:val="00C9668A"/>
    <w:rsid w:val="00C96C1B"/>
    <w:rsid w:val="00C973D6"/>
    <w:rsid w:val="00C97448"/>
    <w:rsid w:val="00CA041B"/>
    <w:rsid w:val="00CA0468"/>
    <w:rsid w:val="00CA0B01"/>
    <w:rsid w:val="00CA0F67"/>
    <w:rsid w:val="00CA0FF3"/>
    <w:rsid w:val="00CA1394"/>
    <w:rsid w:val="00CA168A"/>
    <w:rsid w:val="00CA2DE5"/>
    <w:rsid w:val="00CA2F53"/>
    <w:rsid w:val="00CA364E"/>
    <w:rsid w:val="00CA39D2"/>
    <w:rsid w:val="00CA4685"/>
    <w:rsid w:val="00CA49E7"/>
    <w:rsid w:val="00CA4ED1"/>
    <w:rsid w:val="00CA4F09"/>
    <w:rsid w:val="00CA5301"/>
    <w:rsid w:val="00CA595A"/>
    <w:rsid w:val="00CA5DB0"/>
    <w:rsid w:val="00CA5EBA"/>
    <w:rsid w:val="00CA64DA"/>
    <w:rsid w:val="00CA6784"/>
    <w:rsid w:val="00CA6854"/>
    <w:rsid w:val="00CA7608"/>
    <w:rsid w:val="00CA7813"/>
    <w:rsid w:val="00CA7E73"/>
    <w:rsid w:val="00CB0F5C"/>
    <w:rsid w:val="00CB1092"/>
    <w:rsid w:val="00CB2090"/>
    <w:rsid w:val="00CB2E55"/>
    <w:rsid w:val="00CB334E"/>
    <w:rsid w:val="00CB3751"/>
    <w:rsid w:val="00CB383F"/>
    <w:rsid w:val="00CB3B2E"/>
    <w:rsid w:val="00CB4B9E"/>
    <w:rsid w:val="00CB4F81"/>
    <w:rsid w:val="00CB55D4"/>
    <w:rsid w:val="00CB618C"/>
    <w:rsid w:val="00CB65C1"/>
    <w:rsid w:val="00CB693C"/>
    <w:rsid w:val="00CB71CF"/>
    <w:rsid w:val="00CB7F27"/>
    <w:rsid w:val="00CC00C1"/>
    <w:rsid w:val="00CC055A"/>
    <w:rsid w:val="00CC154F"/>
    <w:rsid w:val="00CC1702"/>
    <w:rsid w:val="00CC1EE4"/>
    <w:rsid w:val="00CC1EE8"/>
    <w:rsid w:val="00CC220E"/>
    <w:rsid w:val="00CC237A"/>
    <w:rsid w:val="00CC257A"/>
    <w:rsid w:val="00CC25C1"/>
    <w:rsid w:val="00CC2BB5"/>
    <w:rsid w:val="00CC2E19"/>
    <w:rsid w:val="00CC329E"/>
    <w:rsid w:val="00CC38AB"/>
    <w:rsid w:val="00CC4C1B"/>
    <w:rsid w:val="00CC5193"/>
    <w:rsid w:val="00CC5B0B"/>
    <w:rsid w:val="00CC5F66"/>
    <w:rsid w:val="00CC6032"/>
    <w:rsid w:val="00CD04D1"/>
    <w:rsid w:val="00CD0E31"/>
    <w:rsid w:val="00CD1980"/>
    <w:rsid w:val="00CD29F2"/>
    <w:rsid w:val="00CD3225"/>
    <w:rsid w:val="00CD328E"/>
    <w:rsid w:val="00CD3973"/>
    <w:rsid w:val="00CD3E25"/>
    <w:rsid w:val="00CD50A9"/>
    <w:rsid w:val="00CD5621"/>
    <w:rsid w:val="00CD667E"/>
    <w:rsid w:val="00CD6BC6"/>
    <w:rsid w:val="00CD6E68"/>
    <w:rsid w:val="00CD709C"/>
    <w:rsid w:val="00CD7C03"/>
    <w:rsid w:val="00CE08C8"/>
    <w:rsid w:val="00CE0C1F"/>
    <w:rsid w:val="00CE11F9"/>
    <w:rsid w:val="00CE1929"/>
    <w:rsid w:val="00CE1990"/>
    <w:rsid w:val="00CE1A87"/>
    <w:rsid w:val="00CE3236"/>
    <w:rsid w:val="00CE3A3C"/>
    <w:rsid w:val="00CE47E9"/>
    <w:rsid w:val="00CE4BD2"/>
    <w:rsid w:val="00CE61F2"/>
    <w:rsid w:val="00CE635B"/>
    <w:rsid w:val="00CE67E6"/>
    <w:rsid w:val="00CE7030"/>
    <w:rsid w:val="00CE70B0"/>
    <w:rsid w:val="00CE70CE"/>
    <w:rsid w:val="00CF00A2"/>
    <w:rsid w:val="00CF0120"/>
    <w:rsid w:val="00CF04D8"/>
    <w:rsid w:val="00CF0607"/>
    <w:rsid w:val="00CF1516"/>
    <w:rsid w:val="00CF189C"/>
    <w:rsid w:val="00CF241E"/>
    <w:rsid w:val="00CF246D"/>
    <w:rsid w:val="00CF2DBB"/>
    <w:rsid w:val="00CF3CEA"/>
    <w:rsid w:val="00CF4EFC"/>
    <w:rsid w:val="00CF5DE9"/>
    <w:rsid w:val="00CF5DF4"/>
    <w:rsid w:val="00CF6409"/>
    <w:rsid w:val="00CF6978"/>
    <w:rsid w:val="00CF6A02"/>
    <w:rsid w:val="00CF7874"/>
    <w:rsid w:val="00CF7AEA"/>
    <w:rsid w:val="00D0012F"/>
    <w:rsid w:val="00D011B9"/>
    <w:rsid w:val="00D0175E"/>
    <w:rsid w:val="00D01910"/>
    <w:rsid w:val="00D01DFA"/>
    <w:rsid w:val="00D01F05"/>
    <w:rsid w:val="00D0327E"/>
    <w:rsid w:val="00D033FF"/>
    <w:rsid w:val="00D038CA"/>
    <w:rsid w:val="00D05519"/>
    <w:rsid w:val="00D05C01"/>
    <w:rsid w:val="00D05C60"/>
    <w:rsid w:val="00D067C0"/>
    <w:rsid w:val="00D06890"/>
    <w:rsid w:val="00D07F73"/>
    <w:rsid w:val="00D09F68"/>
    <w:rsid w:val="00D10282"/>
    <w:rsid w:val="00D10775"/>
    <w:rsid w:val="00D11FD5"/>
    <w:rsid w:val="00D1303D"/>
    <w:rsid w:val="00D132BE"/>
    <w:rsid w:val="00D1331A"/>
    <w:rsid w:val="00D1383C"/>
    <w:rsid w:val="00D13AC3"/>
    <w:rsid w:val="00D13C66"/>
    <w:rsid w:val="00D142E3"/>
    <w:rsid w:val="00D148A0"/>
    <w:rsid w:val="00D14A69"/>
    <w:rsid w:val="00D14EC2"/>
    <w:rsid w:val="00D16BF4"/>
    <w:rsid w:val="00D17683"/>
    <w:rsid w:val="00D208B4"/>
    <w:rsid w:val="00D21162"/>
    <w:rsid w:val="00D21233"/>
    <w:rsid w:val="00D21312"/>
    <w:rsid w:val="00D217DA"/>
    <w:rsid w:val="00D22194"/>
    <w:rsid w:val="00D2270F"/>
    <w:rsid w:val="00D23B5A"/>
    <w:rsid w:val="00D23BD3"/>
    <w:rsid w:val="00D23D89"/>
    <w:rsid w:val="00D247B1"/>
    <w:rsid w:val="00D260C9"/>
    <w:rsid w:val="00D26D72"/>
    <w:rsid w:val="00D26EA6"/>
    <w:rsid w:val="00D27E8B"/>
    <w:rsid w:val="00D3039C"/>
    <w:rsid w:val="00D30779"/>
    <w:rsid w:val="00D31007"/>
    <w:rsid w:val="00D31D9B"/>
    <w:rsid w:val="00D31F40"/>
    <w:rsid w:val="00D323D1"/>
    <w:rsid w:val="00D3260C"/>
    <w:rsid w:val="00D3287B"/>
    <w:rsid w:val="00D32CC9"/>
    <w:rsid w:val="00D33F38"/>
    <w:rsid w:val="00D34144"/>
    <w:rsid w:val="00D34F3F"/>
    <w:rsid w:val="00D352D4"/>
    <w:rsid w:val="00D3570A"/>
    <w:rsid w:val="00D36028"/>
    <w:rsid w:val="00D366AD"/>
    <w:rsid w:val="00D370F2"/>
    <w:rsid w:val="00D37FC2"/>
    <w:rsid w:val="00D4024A"/>
    <w:rsid w:val="00D4090A"/>
    <w:rsid w:val="00D40C8A"/>
    <w:rsid w:val="00D41D14"/>
    <w:rsid w:val="00D424CA"/>
    <w:rsid w:val="00D42880"/>
    <w:rsid w:val="00D441EF"/>
    <w:rsid w:val="00D44616"/>
    <w:rsid w:val="00D447F9"/>
    <w:rsid w:val="00D44CA0"/>
    <w:rsid w:val="00D45758"/>
    <w:rsid w:val="00D4699E"/>
    <w:rsid w:val="00D46C8D"/>
    <w:rsid w:val="00D47203"/>
    <w:rsid w:val="00D4798D"/>
    <w:rsid w:val="00D47D27"/>
    <w:rsid w:val="00D47E4F"/>
    <w:rsid w:val="00D500EF"/>
    <w:rsid w:val="00D5089A"/>
    <w:rsid w:val="00D50B70"/>
    <w:rsid w:val="00D50C3C"/>
    <w:rsid w:val="00D51612"/>
    <w:rsid w:val="00D52114"/>
    <w:rsid w:val="00D5259D"/>
    <w:rsid w:val="00D52E3B"/>
    <w:rsid w:val="00D53384"/>
    <w:rsid w:val="00D543EC"/>
    <w:rsid w:val="00D54986"/>
    <w:rsid w:val="00D54A7B"/>
    <w:rsid w:val="00D54BC3"/>
    <w:rsid w:val="00D558E9"/>
    <w:rsid w:val="00D55BDD"/>
    <w:rsid w:val="00D56A5C"/>
    <w:rsid w:val="00D56CCE"/>
    <w:rsid w:val="00D5725F"/>
    <w:rsid w:val="00D60174"/>
    <w:rsid w:val="00D603AE"/>
    <w:rsid w:val="00D60790"/>
    <w:rsid w:val="00D61FE7"/>
    <w:rsid w:val="00D6253A"/>
    <w:rsid w:val="00D63A7E"/>
    <w:rsid w:val="00D63EAF"/>
    <w:rsid w:val="00D64233"/>
    <w:rsid w:val="00D642B4"/>
    <w:rsid w:val="00D648E1"/>
    <w:rsid w:val="00D64F5D"/>
    <w:rsid w:val="00D65A75"/>
    <w:rsid w:val="00D65BD4"/>
    <w:rsid w:val="00D66434"/>
    <w:rsid w:val="00D665C9"/>
    <w:rsid w:val="00D66610"/>
    <w:rsid w:val="00D667EB"/>
    <w:rsid w:val="00D7022E"/>
    <w:rsid w:val="00D712A0"/>
    <w:rsid w:val="00D728FF"/>
    <w:rsid w:val="00D73048"/>
    <w:rsid w:val="00D736CF"/>
    <w:rsid w:val="00D7471D"/>
    <w:rsid w:val="00D74868"/>
    <w:rsid w:val="00D74A32"/>
    <w:rsid w:val="00D7617C"/>
    <w:rsid w:val="00D770B1"/>
    <w:rsid w:val="00D77827"/>
    <w:rsid w:val="00D7CF42"/>
    <w:rsid w:val="00D807FA"/>
    <w:rsid w:val="00D819E7"/>
    <w:rsid w:val="00D81FF0"/>
    <w:rsid w:val="00D8220A"/>
    <w:rsid w:val="00D82D6D"/>
    <w:rsid w:val="00D83473"/>
    <w:rsid w:val="00D83C24"/>
    <w:rsid w:val="00D8419A"/>
    <w:rsid w:val="00D84DDC"/>
    <w:rsid w:val="00D85B2A"/>
    <w:rsid w:val="00D86836"/>
    <w:rsid w:val="00D869E8"/>
    <w:rsid w:val="00D86EEC"/>
    <w:rsid w:val="00D870B1"/>
    <w:rsid w:val="00D871CB"/>
    <w:rsid w:val="00D87287"/>
    <w:rsid w:val="00D878DA"/>
    <w:rsid w:val="00D909FE"/>
    <w:rsid w:val="00D90E84"/>
    <w:rsid w:val="00D910A0"/>
    <w:rsid w:val="00D91F25"/>
    <w:rsid w:val="00D9229B"/>
    <w:rsid w:val="00D929F6"/>
    <w:rsid w:val="00D92C5F"/>
    <w:rsid w:val="00D93120"/>
    <w:rsid w:val="00D935C0"/>
    <w:rsid w:val="00D93703"/>
    <w:rsid w:val="00D93EE9"/>
    <w:rsid w:val="00D93F06"/>
    <w:rsid w:val="00D94086"/>
    <w:rsid w:val="00D943B8"/>
    <w:rsid w:val="00D9443E"/>
    <w:rsid w:val="00D94FA8"/>
    <w:rsid w:val="00D95A44"/>
    <w:rsid w:val="00D95EA6"/>
    <w:rsid w:val="00D95F30"/>
    <w:rsid w:val="00D96018"/>
    <w:rsid w:val="00D960D6"/>
    <w:rsid w:val="00D96F8E"/>
    <w:rsid w:val="00D975B6"/>
    <w:rsid w:val="00D97819"/>
    <w:rsid w:val="00D978F9"/>
    <w:rsid w:val="00D97C93"/>
    <w:rsid w:val="00DA0288"/>
    <w:rsid w:val="00DA02DB"/>
    <w:rsid w:val="00DA0891"/>
    <w:rsid w:val="00DA0A26"/>
    <w:rsid w:val="00DA1557"/>
    <w:rsid w:val="00DA17E9"/>
    <w:rsid w:val="00DA1881"/>
    <w:rsid w:val="00DA1FB3"/>
    <w:rsid w:val="00DA2B0C"/>
    <w:rsid w:val="00DA3210"/>
    <w:rsid w:val="00DA445F"/>
    <w:rsid w:val="00DA4D51"/>
    <w:rsid w:val="00DA542F"/>
    <w:rsid w:val="00DA6370"/>
    <w:rsid w:val="00DA641A"/>
    <w:rsid w:val="00DA6532"/>
    <w:rsid w:val="00DA65AD"/>
    <w:rsid w:val="00DA6B2B"/>
    <w:rsid w:val="00DA6F18"/>
    <w:rsid w:val="00DA70E0"/>
    <w:rsid w:val="00DAE8F5"/>
    <w:rsid w:val="00DB0017"/>
    <w:rsid w:val="00DB0063"/>
    <w:rsid w:val="00DB1309"/>
    <w:rsid w:val="00DB49F0"/>
    <w:rsid w:val="00DB518A"/>
    <w:rsid w:val="00DB5CFD"/>
    <w:rsid w:val="00DB604A"/>
    <w:rsid w:val="00DB6694"/>
    <w:rsid w:val="00DB6A8A"/>
    <w:rsid w:val="00DB6B2A"/>
    <w:rsid w:val="00DB74AA"/>
    <w:rsid w:val="00DC0592"/>
    <w:rsid w:val="00DC0C96"/>
    <w:rsid w:val="00DC1523"/>
    <w:rsid w:val="00DC19C5"/>
    <w:rsid w:val="00DC1D25"/>
    <w:rsid w:val="00DC2493"/>
    <w:rsid w:val="00DC2630"/>
    <w:rsid w:val="00DC2D2E"/>
    <w:rsid w:val="00DC3312"/>
    <w:rsid w:val="00DC35F0"/>
    <w:rsid w:val="00DC3AFF"/>
    <w:rsid w:val="00DC4714"/>
    <w:rsid w:val="00DC6ACA"/>
    <w:rsid w:val="00DC7F22"/>
    <w:rsid w:val="00DD004D"/>
    <w:rsid w:val="00DD05AB"/>
    <w:rsid w:val="00DD07F1"/>
    <w:rsid w:val="00DD0A73"/>
    <w:rsid w:val="00DD17A0"/>
    <w:rsid w:val="00DD1CC3"/>
    <w:rsid w:val="00DD1FC6"/>
    <w:rsid w:val="00DD2533"/>
    <w:rsid w:val="00DD275E"/>
    <w:rsid w:val="00DD2B6A"/>
    <w:rsid w:val="00DD2FB2"/>
    <w:rsid w:val="00DD2FE0"/>
    <w:rsid w:val="00DD3422"/>
    <w:rsid w:val="00DD56B7"/>
    <w:rsid w:val="00DD577A"/>
    <w:rsid w:val="00DD5ED1"/>
    <w:rsid w:val="00DD6EA8"/>
    <w:rsid w:val="00DD7BFE"/>
    <w:rsid w:val="00DD7E08"/>
    <w:rsid w:val="00DE123B"/>
    <w:rsid w:val="00DE1C60"/>
    <w:rsid w:val="00DE241A"/>
    <w:rsid w:val="00DE283D"/>
    <w:rsid w:val="00DE2865"/>
    <w:rsid w:val="00DE2F6C"/>
    <w:rsid w:val="00DE35BE"/>
    <w:rsid w:val="00DE3C95"/>
    <w:rsid w:val="00DE3E73"/>
    <w:rsid w:val="00DE3FBB"/>
    <w:rsid w:val="00DE42BC"/>
    <w:rsid w:val="00DE4931"/>
    <w:rsid w:val="00DE512F"/>
    <w:rsid w:val="00DE579B"/>
    <w:rsid w:val="00DE6A5B"/>
    <w:rsid w:val="00DE7E55"/>
    <w:rsid w:val="00DF03EB"/>
    <w:rsid w:val="00DF0713"/>
    <w:rsid w:val="00DF0D5E"/>
    <w:rsid w:val="00DF1A24"/>
    <w:rsid w:val="00DF1C44"/>
    <w:rsid w:val="00DF1E18"/>
    <w:rsid w:val="00DF279F"/>
    <w:rsid w:val="00DF3762"/>
    <w:rsid w:val="00DF3E9F"/>
    <w:rsid w:val="00DF42CF"/>
    <w:rsid w:val="00DF44B5"/>
    <w:rsid w:val="00DF4887"/>
    <w:rsid w:val="00DF4AE9"/>
    <w:rsid w:val="00DF669B"/>
    <w:rsid w:val="00DF7508"/>
    <w:rsid w:val="00DFE574"/>
    <w:rsid w:val="00E00C9F"/>
    <w:rsid w:val="00E00E6A"/>
    <w:rsid w:val="00E0139B"/>
    <w:rsid w:val="00E01722"/>
    <w:rsid w:val="00E01737"/>
    <w:rsid w:val="00E01F42"/>
    <w:rsid w:val="00E02106"/>
    <w:rsid w:val="00E028BF"/>
    <w:rsid w:val="00E02B93"/>
    <w:rsid w:val="00E03434"/>
    <w:rsid w:val="00E04566"/>
    <w:rsid w:val="00E046E2"/>
    <w:rsid w:val="00E04CD6"/>
    <w:rsid w:val="00E05A08"/>
    <w:rsid w:val="00E05A27"/>
    <w:rsid w:val="00E06060"/>
    <w:rsid w:val="00E06092"/>
    <w:rsid w:val="00E06FA9"/>
    <w:rsid w:val="00E07915"/>
    <w:rsid w:val="00E07966"/>
    <w:rsid w:val="00E101C8"/>
    <w:rsid w:val="00E10AB6"/>
    <w:rsid w:val="00E1305D"/>
    <w:rsid w:val="00E1346E"/>
    <w:rsid w:val="00E13D7A"/>
    <w:rsid w:val="00E143C5"/>
    <w:rsid w:val="00E1469E"/>
    <w:rsid w:val="00E14706"/>
    <w:rsid w:val="00E15102"/>
    <w:rsid w:val="00E153C3"/>
    <w:rsid w:val="00E16A06"/>
    <w:rsid w:val="00E16CB9"/>
    <w:rsid w:val="00E1A4AC"/>
    <w:rsid w:val="00E2026C"/>
    <w:rsid w:val="00E21005"/>
    <w:rsid w:val="00E21443"/>
    <w:rsid w:val="00E21A2C"/>
    <w:rsid w:val="00E21E51"/>
    <w:rsid w:val="00E2208C"/>
    <w:rsid w:val="00E23382"/>
    <w:rsid w:val="00E233F2"/>
    <w:rsid w:val="00E24480"/>
    <w:rsid w:val="00E24F96"/>
    <w:rsid w:val="00E250EA"/>
    <w:rsid w:val="00E25427"/>
    <w:rsid w:val="00E2599D"/>
    <w:rsid w:val="00E2B39D"/>
    <w:rsid w:val="00E301DC"/>
    <w:rsid w:val="00E310D5"/>
    <w:rsid w:val="00E31289"/>
    <w:rsid w:val="00E31997"/>
    <w:rsid w:val="00E31BC9"/>
    <w:rsid w:val="00E33C28"/>
    <w:rsid w:val="00E33DF4"/>
    <w:rsid w:val="00E33F62"/>
    <w:rsid w:val="00E34288"/>
    <w:rsid w:val="00E34DA9"/>
    <w:rsid w:val="00E34F9A"/>
    <w:rsid w:val="00E350A9"/>
    <w:rsid w:val="00E356D2"/>
    <w:rsid w:val="00E35947"/>
    <w:rsid w:val="00E35EEC"/>
    <w:rsid w:val="00E36896"/>
    <w:rsid w:val="00E373E2"/>
    <w:rsid w:val="00E37671"/>
    <w:rsid w:val="00E37A99"/>
    <w:rsid w:val="00E4004B"/>
    <w:rsid w:val="00E4081F"/>
    <w:rsid w:val="00E408CA"/>
    <w:rsid w:val="00E40B08"/>
    <w:rsid w:val="00E41C3F"/>
    <w:rsid w:val="00E41C95"/>
    <w:rsid w:val="00E42199"/>
    <w:rsid w:val="00E42A1C"/>
    <w:rsid w:val="00E4383F"/>
    <w:rsid w:val="00E43EB3"/>
    <w:rsid w:val="00E43FCD"/>
    <w:rsid w:val="00E44426"/>
    <w:rsid w:val="00E444D2"/>
    <w:rsid w:val="00E44A3A"/>
    <w:rsid w:val="00E44D02"/>
    <w:rsid w:val="00E44D0A"/>
    <w:rsid w:val="00E452F0"/>
    <w:rsid w:val="00E457B0"/>
    <w:rsid w:val="00E45E53"/>
    <w:rsid w:val="00E462AA"/>
    <w:rsid w:val="00E46B63"/>
    <w:rsid w:val="00E47431"/>
    <w:rsid w:val="00E47CDC"/>
    <w:rsid w:val="00E500EF"/>
    <w:rsid w:val="00E50193"/>
    <w:rsid w:val="00E50265"/>
    <w:rsid w:val="00E50728"/>
    <w:rsid w:val="00E508D1"/>
    <w:rsid w:val="00E51756"/>
    <w:rsid w:val="00E51826"/>
    <w:rsid w:val="00E51BBC"/>
    <w:rsid w:val="00E53F63"/>
    <w:rsid w:val="00E547AA"/>
    <w:rsid w:val="00E54D23"/>
    <w:rsid w:val="00E55434"/>
    <w:rsid w:val="00E55618"/>
    <w:rsid w:val="00E5571F"/>
    <w:rsid w:val="00E55DBB"/>
    <w:rsid w:val="00E56425"/>
    <w:rsid w:val="00E570F2"/>
    <w:rsid w:val="00E57B55"/>
    <w:rsid w:val="00E5C635"/>
    <w:rsid w:val="00E60DBF"/>
    <w:rsid w:val="00E611DB"/>
    <w:rsid w:val="00E617CD"/>
    <w:rsid w:val="00E619F6"/>
    <w:rsid w:val="00E61AF9"/>
    <w:rsid w:val="00E62238"/>
    <w:rsid w:val="00E629E5"/>
    <w:rsid w:val="00E62F7C"/>
    <w:rsid w:val="00E646B8"/>
    <w:rsid w:val="00E64CC6"/>
    <w:rsid w:val="00E64F2E"/>
    <w:rsid w:val="00E654F6"/>
    <w:rsid w:val="00E655C8"/>
    <w:rsid w:val="00E656B3"/>
    <w:rsid w:val="00E66B72"/>
    <w:rsid w:val="00E676C1"/>
    <w:rsid w:val="00E676CF"/>
    <w:rsid w:val="00E67E7F"/>
    <w:rsid w:val="00E70508"/>
    <w:rsid w:val="00E70866"/>
    <w:rsid w:val="00E7118B"/>
    <w:rsid w:val="00E7146A"/>
    <w:rsid w:val="00E71927"/>
    <w:rsid w:val="00E71E32"/>
    <w:rsid w:val="00E71FA4"/>
    <w:rsid w:val="00E745E3"/>
    <w:rsid w:val="00E74716"/>
    <w:rsid w:val="00E74AE7"/>
    <w:rsid w:val="00E74B67"/>
    <w:rsid w:val="00E74F23"/>
    <w:rsid w:val="00E7512F"/>
    <w:rsid w:val="00E75503"/>
    <w:rsid w:val="00E756A2"/>
    <w:rsid w:val="00E75A11"/>
    <w:rsid w:val="00E75A6A"/>
    <w:rsid w:val="00E75C33"/>
    <w:rsid w:val="00E76480"/>
    <w:rsid w:val="00E765D1"/>
    <w:rsid w:val="00E76DBE"/>
    <w:rsid w:val="00E77AF9"/>
    <w:rsid w:val="00E801C8"/>
    <w:rsid w:val="00E801E2"/>
    <w:rsid w:val="00E805EE"/>
    <w:rsid w:val="00E81B50"/>
    <w:rsid w:val="00E8245E"/>
    <w:rsid w:val="00E82A75"/>
    <w:rsid w:val="00E83500"/>
    <w:rsid w:val="00E842D4"/>
    <w:rsid w:val="00E85258"/>
    <w:rsid w:val="00E857C5"/>
    <w:rsid w:val="00E857FF"/>
    <w:rsid w:val="00E85ED3"/>
    <w:rsid w:val="00E8630B"/>
    <w:rsid w:val="00E87258"/>
    <w:rsid w:val="00E879A7"/>
    <w:rsid w:val="00E87DCA"/>
    <w:rsid w:val="00E87EAB"/>
    <w:rsid w:val="00E9074F"/>
    <w:rsid w:val="00E90816"/>
    <w:rsid w:val="00E90B63"/>
    <w:rsid w:val="00E913C5"/>
    <w:rsid w:val="00E91599"/>
    <w:rsid w:val="00E91778"/>
    <w:rsid w:val="00E922C9"/>
    <w:rsid w:val="00E9346A"/>
    <w:rsid w:val="00E9361A"/>
    <w:rsid w:val="00E93B52"/>
    <w:rsid w:val="00E93D77"/>
    <w:rsid w:val="00E941D5"/>
    <w:rsid w:val="00E94B38"/>
    <w:rsid w:val="00E94DA0"/>
    <w:rsid w:val="00E9541D"/>
    <w:rsid w:val="00E95577"/>
    <w:rsid w:val="00E95FBA"/>
    <w:rsid w:val="00E96AB6"/>
    <w:rsid w:val="00E97048"/>
    <w:rsid w:val="00E97758"/>
    <w:rsid w:val="00EA02B1"/>
    <w:rsid w:val="00EA0AEC"/>
    <w:rsid w:val="00EA10C9"/>
    <w:rsid w:val="00EA1F70"/>
    <w:rsid w:val="00EA2725"/>
    <w:rsid w:val="00EA3D48"/>
    <w:rsid w:val="00EA4567"/>
    <w:rsid w:val="00EA4C59"/>
    <w:rsid w:val="00EA5D28"/>
    <w:rsid w:val="00EA6A8C"/>
    <w:rsid w:val="00EA6BCC"/>
    <w:rsid w:val="00EA6F13"/>
    <w:rsid w:val="00EA77FB"/>
    <w:rsid w:val="00EA7BFB"/>
    <w:rsid w:val="00EA7EC5"/>
    <w:rsid w:val="00EB15C0"/>
    <w:rsid w:val="00EB30F0"/>
    <w:rsid w:val="00EB3394"/>
    <w:rsid w:val="00EB37EF"/>
    <w:rsid w:val="00EB3BF9"/>
    <w:rsid w:val="00EB3FEA"/>
    <w:rsid w:val="00EB494C"/>
    <w:rsid w:val="00EB495F"/>
    <w:rsid w:val="00EB4E2F"/>
    <w:rsid w:val="00EB6152"/>
    <w:rsid w:val="00EB6F7B"/>
    <w:rsid w:val="00EC0302"/>
    <w:rsid w:val="00EC068A"/>
    <w:rsid w:val="00EC1C9D"/>
    <w:rsid w:val="00EC1F72"/>
    <w:rsid w:val="00EC1FBF"/>
    <w:rsid w:val="00EC24D8"/>
    <w:rsid w:val="00EC2816"/>
    <w:rsid w:val="00EC2ACA"/>
    <w:rsid w:val="00EC30AF"/>
    <w:rsid w:val="00EC3248"/>
    <w:rsid w:val="00EC3D17"/>
    <w:rsid w:val="00EC416D"/>
    <w:rsid w:val="00EC42E6"/>
    <w:rsid w:val="00EC4D06"/>
    <w:rsid w:val="00EC5373"/>
    <w:rsid w:val="00EC5CD9"/>
    <w:rsid w:val="00EC6747"/>
    <w:rsid w:val="00EC6FB0"/>
    <w:rsid w:val="00EC72D7"/>
    <w:rsid w:val="00EC731A"/>
    <w:rsid w:val="00EC788C"/>
    <w:rsid w:val="00EC7E3B"/>
    <w:rsid w:val="00ED0BAC"/>
    <w:rsid w:val="00ED125A"/>
    <w:rsid w:val="00ED1BA5"/>
    <w:rsid w:val="00ED25D8"/>
    <w:rsid w:val="00ED2696"/>
    <w:rsid w:val="00ED3633"/>
    <w:rsid w:val="00ED4B68"/>
    <w:rsid w:val="00ED4FD0"/>
    <w:rsid w:val="00ED5CA8"/>
    <w:rsid w:val="00ED6871"/>
    <w:rsid w:val="00ED69C8"/>
    <w:rsid w:val="00ED6C0D"/>
    <w:rsid w:val="00ED7592"/>
    <w:rsid w:val="00ED7721"/>
    <w:rsid w:val="00ED7A76"/>
    <w:rsid w:val="00EE05D1"/>
    <w:rsid w:val="00EE0923"/>
    <w:rsid w:val="00EE0E28"/>
    <w:rsid w:val="00EE1395"/>
    <w:rsid w:val="00EE1DC5"/>
    <w:rsid w:val="00EE28A6"/>
    <w:rsid w:val="00EE28FE"/>
    <w:rsid w:val="00EE3125"/>
    <w:rsid w:val="00EE3ED9"/>
    <w:rsid w:val="00EE43C3"/>
    <w:rsid w:val="00EE5727"/>
    <w:rsid w:val="00EE57BA"/>
    <w:rsid w:val="00EE60E5"/>
    <w:rsid w:val="00EE64F0"/>
    <w:rsid w:val="00EE6875"/>
    <w:rsid w:val="00EE68C2"/>
    <w:rsid w:val="00EE691E"/>
    <w:rsid w:val="00EE69DB"/>
    <w:rsid w:val="00EE6A4D"/>
    <w:rsid w:val="00EE6C20"/>
    <w:rsid w:val="00EE72EF"/>
    <w:rsid w:val="00EE788D"/>
    <w:rsid w:val="00EF0872"/>
    <w:rsid w:val="00EF1098"/>
    <w:rsid w:val="00EF1539"/>
    <w:rsid w:val="00EF163F"/>
    <w:rsid w:val="00EF2398"/>
    <w:rsid w:val="00EF2C72"/>
    <w:rsid w:val="00EF3552"/>
    <w:rsid w:val="00EF38F4"/>
    <w:rsid w:val="00EF3FA8"/>
    <w:rsid w:val="00EF40E0"/>
    <w:rsid w:val="00EF42AC"/>
    <w:rsid w:val="00EF4CAE"/>
    <w:rsid w:val="00EF54BD"/>
    <w:rsid w:val="00EF551F"/>
    <w:rsid w:val="00EF58EC"/>
    <w:rsid w:val="00EF651F"/>
    <w:rsid w:val="00EF65FA"/>
    <w:rsid w:val="00EF69AB"/>
    <w:rsid w:val="00EF69B4"/>
    <w:rsid w:val="00EF6C69"/>
    <w:rsid w:val="00EF6D9C"/>
    <w:rsid w:val="00EF73F6"/>
    <w:rsid w:val="00EF74F9"/>
    <w:rsid w:val="00EF7820"/>
    <w:rsid w:val="00EF7EB2"/>
    <w:rsid w:val="00EFD51A"/>
    <w:rsid w:val="00F00A73"/>
    <w:rsid w:val="00F00C14"/>
    <w:rsid w:val="00F00F8A"/>
    <w:rsid w:val="00F0111C"/>
    <w:rsid w:val="00F01503"/>
    <w:rsid w:val="00F01A8C"/>
    <w:rsid w:val="00F01CC2"/>
    <w:rsid w:val="00F02072"/>
    <w:rsid w:val="00F03600"/>
    <w:rsid w:val="00F03B77"/>
    <w:rsid w:val="00F0449E"/>
    <w:rsid w:val="00F046A2"/>
    <w:rsid w:val="00F04BA4"/>
    <w:rsid w:val="00F05A6A"/>
    <w:rsid w:val="00F061E6"/>
    <w:rsid w:val="00F06431"/>
    <w:rsid w:val="00F06C1D"/>
    <w:rsid w:val="00F06E98"/>
    <w:rsid w:val="00F06FC6"/>
    <w:rsid w:val="00F076C7"/>
    <w:rsid w:val="00F077E7"/>
    <w:rsid w:val="00F1013B"/>
    <w:rsid w:val="00F121C3"/>
    <w:rsid w:val="00F13010"/>
    <w:rsid w:val="00F1377B"/>
    <w:rsid w:val="00F142A6"/>
    <w:rsid w:val="00F14772"/>
    <w:rsid w:val="00F14A53"/>
    <w:rsid w:val="00F15BC9"/>
    <w:rsid w:val="00F15D28"/>
    <w:rsid w:val="00F167E6"/>
    <w:rsid w:val="00F1692D"/>
    <w:rsid w:val="00F16BEE"/>
    <w:rsid w:val="00F16C4B"/>
    <w:rsid w:val="00F16C95"/>
    <w:rsid w:val="00F16CE9"/>
    <w:rsid w:val="00F17914"/>
    <w:rsid w:val="00F17FF3"/>
    <w:rsid w:val="00F20073"/>
    <w:rsid w:val="00F2011B"/>
    <w:rsid w:val="00F207C0"/>
    <w:rsid w:val="00F2091E"/>
    <w:rsid w:val="00F20A74"/>
    <w:rsid w:val="00F20ACC"/>
    <w:rsid w:val="00F20B6C"/>
    <w:rsid w:val="00F20D83"/>
    <w:rsid w:val="00F215EC"/>
    <w:rsid w:val="00F21C73"/>
    <w:rsid w:val="00F22342"/>
    <w:rsid w:val="00F22B3F"/>
    <w:rsid w:val="00F23542"/>
    <w:rsid w:val="00F23F4E"/>
    <w:rsid w:val="00F24202"/>
    <w:rsid w:val="00F24356"/>
    <w:rsid w:val="00F24566"/>
    <w:rsid w:val="00F253B8"/>
    <w:rsid w:val="00F254C7"/>
    <w:rsid w:val="00F255D3"/>
    <w:rsid w:val="00F25D5E"/>
    <w:rsid w:val="00F25E11"/>
    <w:rsid w:val="00F26290"/>
    <w:rsid w:val="00F26FE1"/>
    <w:rsid w:val="00F300D2"/>
    <w:rsid w:val="00F3062E"/>
    <w:rsid w:val="00F30E62"/>
    <w:rsid w:val="00F3123A"/>
    <w:rsid w:val="00F314B8"/>
    <w:rsid w:val="00F31A70"/>
    <w:rsid w:val="00F31B6E"/>
    <w:rsid w:val="00F31C3C"/>
    <w:rsid w:val="00F31C7C"/>
    <w:rsid w:val="00F31F25"/>
    <w:rsid w:val="00F329D4"/>
    <w:rsid w:val="00F33A1B"/>
    <w:rsid w:val="00F33FFD"/>
    <w:rsid w:val="00F34E29"/>
    <w:rsid w:val="00F350A8"/>
    <w:rsid w:val="00F3511A"/>
    <w:rsid w:val="00F35A62"/>
    <w:rsid w:val="00F37D87"/>
    <w:rsid w:val="00F40136"/>
    <w:rsid w:val="00F41345"/>
    <w:rsid w:val="00F41FCE"/>
    <w:rsid w:val="00F42D9C"/>
    <w:rsid w:val="00F4340C"/>
    <w:rsid w:val="00F4367A"/>
    <w:rsid w:val="00F43F36"/>
    <w:rsid w:val="00F4404A"/>
    <w:rsid w:val="00F44486"/>
    <w:rsid w:val="00F44ED8"/>
    <w:rsid w:val="00F452A0"/>
    <w:rsid w:val="00F45F0F"/>
    <w:rsid w:val="00F462F8"/>
    <w:rsid w:val="00F46356"/>
    <w:rsid w:val="00F463F3"/>
    <w:rsid w:val="00F46CB7"/>
    <w:rsid w:val="00F46E29"/>
    <w:rsid w:val="00F47685"/>
    <w:rsid w:val="00F47B17"/>
    <w:rsid w:val="00F47D2B"/>
    <w:rsid w:val="00F502C4"/>
    <w:rsid w:val="00F52B2C"/>
    <w:rsid w:val="00F53223"/>
    <w:rsid w:val="00F53CE2"/>
    <w:rsid w:val="00F54E4B"/>
    <w:rsid w:val="00F55851"/>
    <w:rsid w:val="00F55A74"/>
    <w:rsid w:val="00F55C49"/>
    <w:rsid w:val="00F56CA8"/>
    <w:rsid w:val="00F573C2"/>
    <w:rsid w:val="00F5747D"/>
    <w:rsid w:val="00F57551"/>
    <w:rsid w:val="00F57769"/>
    <w:rsid w:val="00F57995"/>
    <w:rsid w:val="00F6001D"/>
    <w:rsid w:val="00F60D12"/>
    <w:rsid w:val="00F615A9"/>
    <w:rsid w:val="00F616AD"/>
    <w:rsid w:val="00F61A8F"/>
    <w:rsid w:val="00F6224D"/>
    <w:rsid w:val="00F626A2"/>
    <w:rsid w:val="00F63487"/>
    <w:rsid w:val="00F636F4"/>
    <w:rsid w:val="00F63D92"/>
    <w:rsid w:val="00F63FBF"/>
    <w:rsid w:val="00F6402D"/>
    <w:rsid w:val="00F641C4"/>
    <w:rsid w:val="00F641DA"/>
    <w:rsid w:val="00F645ED"/>
    <w:rsid w:val="00F646CA"/>
    <w:rsid w:val="00F654F4"/>
    <w:rsid w:val="00F65589"/>
    <w:rsid w:val="00F65884"/>
    <w:rsid w:val="00F6659F"/>
    <w:rsid w:val="00F66974"/>
    <w:rsid w:val="00F66C46"/>
    <w:rsid w:val="00F66D85"/>
    <w:rsid w:val="00F66F86"/>
    <w:rsid w:val="00F6769E"/>
    <w:rsid w:val="00F67A2C"/>
    <w:rsid w:val="00F67F17"/>
    <w:rsid w:val="00F7001E"/>
    <w:rsid w:val="00F70150"/>
    <w:rsid w:val="00F71442"/>
    <w:rsid w:val="00F71927"/>
    <w:rsid w:val="00F71A57"/>
    <w:rsid w:val="00F71DA6"/>
    <w:rsid w:val="00F72584"/>
    <w:rsid w:val="00F726AC"/>
    <w:rsid w:val="00F7298C"/>
    <w:rsid w:val="00F72BBF"/>
    <w:rsid w:val="00F72C41"/>
    <w:rsid w:val="00F72CCB"/>
    <w:rsid w:val="00F72D3A"/>
    <w:rsid w:val="00F72D3D"/>
    <w:rsid w:val="00F7351A"/>
    <w:rsid w:val="00F7377A"/>
    <w:rsid w:val="00F742A9"/>
    <w:rsid w:val="00F74748"/>
    <w:rsid w:val="00F74E23"/>
    <w:rsid w:val="00F7549B"/>
    <w:rsid w:val="00F75598"/>
    <w:rsid w:val="00F75E51"/>
    <w:rsid w:val="00F76B61"/>
    <w:rsid w:val="00F76BF5"/>
    <w:rsid w:val="00F76CBA"/>
    <w:rsid w:val="00F76E9F"/>
    <w:rsid w:val="00F775E6"/>
    <w:rsid w:val="00F776B2"/>
    <w:rsid w:val="00F77EA0"/>
    <w:rsid w:val="00F7F65A"/>
    <w:rsid w:val="00F80279"/>
    <w:rsid w:val="00F80B77"/>
    <w:rsid w:val="00F80B85"/>
    <w:rsid w:val="00F80E37"/>
    <w:rsid w:val="00F810ED"/>
    <w:rsid w:val="00F81193"/>
    <w:rsid w:val="00F816C2"/>
    <w:rsid w:val="00F81726"/>
    <w:rsid w:val="00F81BB5"/>
    <w:rsid w:val="00F8251E"/>
    <w:rsid w:val="00F82BBF"/>
    <w:rsid w:val="00F82E9E"/>
    <w:rsid w:val="00F833BF"/>
    <w:rsid w:val="00F83581"/>
    <w:rsid w:val="00F8383D"/>
    <w:rsid w:val="00F8495B"/>
    <w:rsid w:val="00F85288"/>
    <w:rsid w:val="00F87112"/>
    <w:rsid w:val="00F878C6"/>
    <w:rsid w:val="00F87A0B"/>
    <w:rsid w:val="00F87AA0"/>
    <w:rsid w:val="00F87E0F"/>
    <w:rsid w:val="00F9010E"/>
    <w:rsid w:val="00F9020B"/>
    <w:rsid w:val="00F9078A"/>
    <w:rsid w:val="00F90B0C"/>
    <w:rsid w:val="00F918BD"/>
    <w:rsid w:val="00F91BFB"/>
    <w:rsid w:val="00F91C6B"/>
    <w:rsid w:val="00F91E06"/>
    <w:rsid w:val="00F91FDA"/>
    <w:rsid w:val="00F9371C"/>
    <w:rsid w:val="00F9462B"/>
    <w:rsid w:val="00F946BE"/>
    <w:rsid w:val="00F94707"/>
    <w:rsid w:val="00F94820"/>
    <w:rsid w:val="00F948E1"/>
    <w:rsid w:val="00F94CEC"/>
    <w:rsid w:val="00F95373"/>
    <w:rsid w:val="00F95537"/>
    <w:rsid w:val="00F960EC"/>
    <w:rsid w:val="00F96498"/>
    <w:rsid w:val="00F96D5D"/>
    <w:rsid w:val="00F9758A"/>
    <w:rsid w:val="00F97F9F"/>
    <w:rsid w:val="00F97FB9"/>
    <w:rsid w:val="00FA00E2"/>
    <w:rsid w:val="00FA0EDA"/>
    <w:rsid w:val="00FA11E0"/>
    <w:rsid w:val="00FA287C"/>
    <w:rsid w:val="00FA2CFF"/>
    <w:rsid w:val="00FA2FF9"/>
    <w:rsid w:val="00FA3189"/>
    <w:rsid w:val="00FA36B7"/>
    <w:rsid w:val="00FA4385"/>
    <w:rsid w:val="00FA5173"/>
    <w:rsid w:val="00FA5ABC"/>
    <w:rsid w:val="00FA65C9"/>
    <w:rsid w:val="00FA7258"/>
    <w:rsid w:val="00FA7EA6"/>
    <w:rsid w:val="00FB08E2"/>
    <w:rsid w:val="00FB14CD"/>
    <w:rsid w:val="00FB16DA"/>
    <w:rsid w:val="00FB278C"/>
    <w:rsid w:val="00FB2D0E"/>
    <w:rsid w:val="00FB2F6D"/>
    <w:rsid w:val="00FB370E"/>
    <w:rsid w:val="00FB3804"/>
    <w:rsid w:val="00FB5B6D"/>
    <w:rsid w:val="00FB5DF3"/>
    <w:rsid w:val="00FB5F25"/>
    <w:rsid w:val="00FB6D3C"/>
    <w:rsid w:val="00FB6F9C"/>
    <w:rsid w:val="00FB7002"/>
    <w:rsid w:val="00FB76C6"/>
    <w:rsid w:val="00FB7889"/>
    <w:rsid w:val="00FB7A1B"/>
    <w:rsid w:val="00FB7EA4"/>
    <w:rsid w:val="00FB7F3A"/>
    <w:rsid w:val="00FC02F0"/>
    <w:rsid w:val="00FC03CE"/>
    <w:rsid w:val="00FC0F71"/>
    <w:rsid w:val="00FC0FC2"/>
    <w:rsid w:val="00FC28DA"/>
    <w:rsid w:val="00FC2EC9"/>
    <w:rsid w:val="00FC35F9"/>
    <w:rsid w:val="00FC3A80"/>
    <w:rsid w:val="00FC5132"/>
    <w:rsid w:val="00FC5169"/>
    <w:rsid w:val="00FC562A"/>
    <w:rsid w:val="00FC6250"/>
    <w:rsid w:val="00FC688C"/>
    <w:rsid w:val="00FC68D6"/>
    <w:rsid w:val="00FC6E6E"/>
    <w:rsid w:val="00FD0234"/>
    <w:rsid w:val="00FD0B1D"/>
    <w:rsid w:val="00FD109E"/>
    <w:rsid w:val="00FD175C"/>
    <w:rsid w:val="00FD25CF"/>
    <w:rsid w:val="00FD359F"/>
    <w:rsid w:val="00FD3784"/>
    <w:rsid w:val="00FD3A21"/>
    <w:rsid w:val="00FD5271"/>
    <w:rsid w:val="00FD577D"/>
    <w:rsid w:val="00FD5CF6"/>
    <w:rsid w:val="00FD6640"/>
    <w:rsid w:val="00FD6C02"/>
    <w:rsid w:val="00FD7457"/>
    <w:rsid w:val="00FD768C"/>
    <w:rsid w:val="00FE0E9D"/>
    <w:rsid w:val="00FE1718"/>
    <w:rsid w:val="00FE1CD8"/>
    <w:rsid w:val="00FE22B4"/>
    <w:rsid w:val="00FE28D3"/>
    <w:rsid w:val="00FE2B0D"/>
    <w:rsid w:val="00FE3115"/>
    <w:rsid w:val="00FE3714"/>
    <w:rsid w:val="00FE3CCD"/>
    <w:rsid w:val="00FE3DD3"/>
    <w:rsid w:val="00FE5DDF"/>
    <w:rsid w:val="00FE6851"/>
    <w:rsid w:val="00FE6922"/>
    <w:rsid w:val="00FE69A6"/>
    <w:rsid w:val="00FE6AC6"/>
    <w:rsid w:val="00FE7CC9"/>
    <w:rsid w:val="00FE7EB6"/>
    <w:rsid w:val="00FF0C91"/>
    <w:rsid w:val="00FF11A1"/>
    <w:rsid w:val="00FF16D8"/>
    <w:rsid w:val="00FF1C33"/>
    <w:rsid w:val="00FF3FD1"/>
    <w:rsid w:val="00FF55DA"/>
    <w:rsid w:val="00FF56EE"/>
    <w:rsid w:val="00FF5730"/>
    <w:rsid w:val="00FF64EC"/>
    <w:rsid w:val="00FF68EF"/>
    <w:rsid w:val="00FF6B60"/>
    <w:rsid w:val="00FF6B9C"/>
    <w:rsid w:val="00FF70A7"/>
    <w:rsid w:val="010208E1"/>
    <w:rsid w:val="010542AA"/>
    <w:rsid w:val="010A6573"/>
    <w:rsid w:val="01116BE5"/>
    <w:rsid w:val="011D8A4A"/>
    <w:rsid w:val="0126A07E"/>
    <w:rsid w:val="01447CF1"/>
    <w:rsid w:val="014E2606"/>
    <w:rsid w:val="0152BA20"/>
    <w:rsid w:val="015795CF"/>
    <w:rsid w:val="015CCF8A"/>
    <w:rsid w:val="016EC1C4"/>
    <w:rsid w:val="016EFE84"/>
    <w:rsid w:val="0171A550"/>
    <w:rsid w:val="0172A7CC"/>
    <w:rsid w:val="01776529"/>
    <w:rsid w:val="0178436C"/>
    <w:rsid w:val="01825608"/>
    <w:rsid w:val="01855E25"/>
    <w:rsid w:val="018FD7F3"/>
    <w:rsid w:val="0197D90E"/>
    <w:rsid w:val="019B4570"/>
    <w:rsid w:val="01B1EB61"/>
    <w:rsid w:val="01B2B059"/>
    <w:rsid w:val="01B2EEFE"/>
    <w:rsid w:val="01C036EE"/>
    <w:rsid w:val="01E5233B"/>
    <w:rsid w:val="01E93405"/>
    <w:rsid w:val="01F68936"/>
    <w:rsid w:val="02033B0C"/>
    <w:rsid w:val="020413E1"/>
    <w:rsid w:val="02058A2F"/>
    <w:rsid w:val="021D699B"/>
    <w:rsid w:val="022170C8"/>
    <w:rsid w:val="023BA048"/>
    <w:rsid w:val="0252C461"/>
    <w:rsid w:val="025E750D"/>
    <w:rsid w:val="02793CDC"/>
    <w:rsid w:val="028B49F7"/>
    <w:rsid w:val="028CEAFF"/>
    <w:rsid w:val="02988450"/>
    <w:rsid w:val="02A5F1F4"/>
    <w:rsid w:val="02A670E0"/>
    <w:rsid w:val="02A8C1E7"/>
    <w:rsid w:val="02AB0C4D"/>
    <w:rsid w:val="02AE8365"/>
    <w:rsid w:val="02D02405"/>
    <w:rsid w:val="02DE3DCE"/>
    <w:rsid w:val="02E34730"/>
    <w:rsid w:val="02E5C49C"/>
    <w:rsid w:val="0305AF3C"/>
    <w:rsid w:val="030C63DF"/>
    <w:rsid w:val="030E15CD"/>
    <w:rsid w:val="03294277"/>
    <w:rsid w:val="0338F85F"/>
    <w:rsid w:val="033EF17E"/>
    <w:rsid w:val="033F0479"/>
    <w:rsid w:val="03487A7E"/>
    <w:rsid w:val="0367A8A7"/>
    <w:rsid w:val="037409AC"/>
    <w:rsid w:val="0375FACA"/>
    <w:rsid w:val="037AF8E5"/>
    <w:rsid w:val="037E90D8"/>
    <w:rsid w:val="037E9C3D"/>
    <w:rsid w:val="0381B9F2"/>
    <w:rsid w:val="0387412A"/>
    <w:rsid w:val="03876689"/>
    <w:rsid w:val="03903564"/>
    <w:rsid w:val="0399A2DF"/>
    <w:rsid w:val="039A0EBE"/>
    <w:rsid w:val="039A6AB3"/>
    <w:rsid w:val="03A1AEA7"/>
    <w:rsid w:val="03A4E099"/>
    <w:rsid w:val="03AB2C87"/>
    <w:rsid w:val="03B76C8C"/>
    <w:rsid w:val="03D57E85"/>
    <w:rsid w:val="03D5E4A1"/>
    <w:rsid w:val="03D86915"/>
    <w:rsid w:val="03DBC405"/>
    <w:rsid w:val="03DDE0CB"/>
    <w:rsid w:val="03E25F63"/>
    <w:rsid w:val="03EBB5D7"/>
    <w:rsid w:val="0410CC8C"/>
    <w:rsid w:val="04116FAA"/>
    <w:rsid w:val="041B24A5"/>
    <w:rsid w:val="0429D365"/>
    <w:rsid w:val="04413C44"/>
    <w:rsid w:val="04468354"/>
    <w:rsid w:val="045A190D"/>
    <w:rsid w:val="04609339"/>
    <w:rsid w:val="04629FCF"/>
    <w:rsid w:val="047959BE"/>
    <w:rsid w:val="04844E97"/>
    <w:rsid w:val="04AF3504"/>
    <w:rsid w:val="04B1D374"/>
    <w:rsid w:val="04B849F3"/>
    <w:rsid w:val="04CCB888"/>
    <w:rsid w:val="04D5D53D"/>
    <w:rsid w:val="04E0AEC9"/>
    <w:rsid w:val="04E7CC38"/>
    <w:rsid w:val="04FCC695"/>
    <w:rsid w:val="04FE844F"/>
    <w:rsid w:val="0502A779"/>
    <w:rsid w:val="05061483"/>
    <w:rsid w:val="05081993"/>
    <w:rsid w:val="0524FC4A"/>
    <w:rsid w:val="05273DAA"/>
    <w:rsid w:val="052E20DD"/>
    <w:rsid w:val="05347160"/>
    <w:rsid w:val="054C139B"/>
    <w:rsid w:val="054EA4B0"/>
    <w:rsid w:val="055C3CEB"/>
    <w:rsid w:val="05699F05"/>
    <w:rsid w:val="05794215"/>
    <w:rsid w:val="05944C24"/>
    <w:rsid w:val="059CCA23"/>
    <w:rsid w:val="059DFE09"/>
    <w:rsid w:val="05A37631"/>
    <w:rsid w:val="05B576AF"/>
    <w:rsid w:val="05BFD1BB"/>
    <w:rsid w:val="05CABB85"/>
    <w:rsid w:val="05D36546"/>
    <w:rsid w:val="05DA3C02"/>
    <w:rsid w:val="05DD588F"/>
    <w:rsid w:val="05E4DD08"/>
    <w:rsid w:val="05EB8D91"/>
    <w:rsid w:val="05EE7C07"/>
    <w:rsid w:val="05EFCD1B"/>
    <w:rsid w:val="06126BE9"/>
    <w:rsid w:val="0615DE90"/>
    <w:rsid w:val="06165354"/>
    <w:rsid w:val="061B2A96"/>
    <w:rsid w:val="0630476B"/>
    <w:rsid w:val="06384B3F"/>
    <w:rsid w:val="063E7C2D"/>
    <w:rsid w:val="064A6094"/>
    <w:rsid w:val="065643A3"/>
    <w:rsid w:val="06610414"/>
    <w:rsid w:val="06612928"/>
    <w:rsid w:val="06626A0B"/>
    <w:rsid w:val="066B581B"/>
    <w:rsid w:val="066D5DB6"/>
    <w:rsid w:val="067AC170"/>
    <w:rsid w:val="067FA785"/>
    <w:rsid w:val="06801B56"/>
    <w:rsid w:val="068903BE"/>
    <w:rsid w:val="06993F67"/>
    <w:rsid w:val="06A7005E"/>
    <w:rsid w:val="06B78A18"/>
    <w:rsid w:val="06B7C9FB"/>
    <w:rsid w:val="06B7F973"/>
    <w:rsid w:val="06B99687"/>
    <w:rsid w:val="06C30E0B"/>
    <w:rsid w:val="06C461B9"/>
    <w:rsid w:val="06CA9EFE"/>
    <w:rsid w:val="06D7A2A2"/>
    <w:rsid w:val="06DCF3DA"/>
    <w:rsid w:val="06E012AD"/>
    <w:rsid w:val="06F3EFEB"/>
    <w:rsid w:val="0701888F"/>
    <w:rsid w:val="07022C50"/>
    <w:rsid w:val="07086F28"/>
    <w:rsid w:val="070ACBA1"/>
    <w:rsid w:val="0717B8FE"/>
    <w:rsid w:val="071B0717"/>
    <w:rsid w:val="0729CEB7"/>
    <w:rsid w:val="0738CD6B"/>
    <w:rsid w:val="0742E963"/>
    <w:rsid w:val="07436E0C"/>
    <w:rsid w:val="07439665"/>
    <w:rsid w:val="07458A5D"/>
    <w:rsid w:val="07515626"/>
    <w:rsid w:val="0752F9A9"/>
    <w:rsid w:val="07569F03"/>
    <w:rsid w:val="075998E1"/>
    <w:rsid w:val="075C288A"/>
    <w:rsid w:val="075F3136"/>
    <w:rsid w:val="07656521"/>
    <w:rsid w:val="076678E3"/>
    <w:rsid w:val="076B75D1"/>
    <w:rsid w:val="077B5A7A"/>
    <w:rsid w:val="078B00D8"/>
    <w:rsid w:val="078CC2A3"/>
    <w:rsid w:val="079024CE"/>
    <w:rsid w:val="0795005B"/>
    <w:rsid w:val="07B1AEF1"/>
    <w:rsid w:val="07C22A3B"/>
    <w:rsid w:val="07CBB4C4"/>
    <w:rsid w:val="07CF90CF"/>
    <w:rsid w:val="07D07E49"/>
    <w:rsid w:val="07D2CEAC"/>
    <w:rsid w:val="07D5129C"/>
    <w:rsid w:val="07D982C7"/>
    <w:rsid w:val="07EF3D43"/>
    <w:rsid w:val="07F24506"/>
    <w:rsid w:val="07F6B8AB"/>
    <w:rsid w:val="08145763"/>
    <w:rsid w:val="08157401"/>
    <w:rsid w:val="0816E1A8"/>
    <w:rsid w:val="0819ED62"/>
    <w:rsid w:val="081FDFA4"/>
    <w:rsid w:val="0821ED4C"/>
    <w:rsid w:val="0826C5F5"/>
    <w:rsid w:val="082AE641"/>
    <w:rsid w:val="0830FB6D"/>
    <w:rsid w:val="08352ACE"/>
    <w:rsid w:val="08483FE4"/>
    <w:rsid w:val="08541E26"/>
    <w:rsid w:val="0856A702"/>
    <w:rsid w:val="085DC0C6"/>
    <w:rsid w:val="0861A9E5"/>
    <w:rsid w:val="087CE304"/>
    <w:rsid w:val="089A4EA9"/>
    <w:rsid w:val="089DAF88"/>
    <w:rsid w:val="08A6789B"/>
    <w:rsid w:val="08B58B5C"/>
    <w:rsid w:val="08BFCE7D"/>
    <w:rsid w:val="08CE6242"/>
    <w:rsid w:val="08D17004"/>
    <w:rsid w:val="08D2B59D"/>
    <w:rsid w:val="08D46994"/>
    <w:rsid w:val="08DD4FB5"/>
    <w:rsid w:val="08DDC069"/>
    <w:rsid w:val="08E833B0"/>
    <w:rsid w:val="08F3E57D"/>
    <w:rsid w:val="08F5353D"/>
    <w:rsid w:val="0905C595"/>
    <w:rsid w:val="0910E088"/>
    <w:rsid w:val="09110B70"/>
    <w:rsid w:val="09190E6C"/>
    <w:rsid w:val="09242851"/>
    <w:rsid w:val="0926B9EB"/>
    <w:rsid w:val="09343920"/>
    <w:rsid w:val="0934A1FE"/>
    <w:rsid w:val="093A5BD4"/>
    <w:rsid w:val="093CA08B"/>
    <w:rsid w:val="093D7657"/>
    <w:rsid w:val="094A260C"/>
    <w:rsid w:val="09514F86"/>
    <w:rsid w:val="09566883"/>
    <w:rsid w:val="095696F6"/>
    <w:rsid w:val="096B094F"/>
    <w:rsid w:val="096F835B"/>
    <w:rsid w:val="09713D21"/>
    <w:rsid w:val="098336E0"/>
    <w:rsid w:val="09B118F3"/>
    <w:rsid w:val="09B874B2"/>
    <w:rsid w:val="09C031FA"/>
    <w:rsid w:val="09CF6527"/>
    <w:rsid w:val="09D74751"/>
    <w:rsid w:val="09DD0DE9"/>
    <w:rsid w:val="09E89A16"/>
    <w:rsid w:val="09F7C443"/>
    <w:rsid w:val="09FCEC92"/>
    <w:rsid w:val="0A0F0399"/>
    <w:rsid w:val="0A26A45A"/>
    <w:rsid w:val="0A366B89"/>
    <w:rsid w:val="0A398E14"/>
    <w:rsid w:val="0A40340E"/>
    <w:rsid w:val="0A41BBA0"/>
    <w:rsid w:val="0A466360"/>
    <w:rsid w:val="0A6AF95A"/>
    <w:rsid w:val="0A6EF909"/>
    <w:rsid w:val="0A779742"/>
    <w:rsid w:val="0A87EC82"/>
    <w:rsid w:val="0A8ACBC0"/>
    <w:rsid w:val="0A93D33B"/>
    <w:rsid w:val="0AA21EBC"/>
    <w:rsid w:val="0AB73C5E"/>
    <w:rsid w:val="0AB9B367"/>
    <w:rsid w:val="0AD97BF2"/>
    <w:rsid w:val="0AEB42E3"/>
    <w:rsid w:val="0AEDDAF2"/>
    <w:rsid w:val="0B0C421E"/>
    <w:rsid w:val="0B10D2C2"/>
    <w:rsid w:val="0B2A3B96"/>
    <w:rsid w:val="0B38174C"/>
    <w:rsid w:val="0B3C450B"/>
    <w:rsid w:val="0B41D22B"/>
    <w:rsid w:val="0B65C160"/>
    <w:rsid w:val="0B69E184"/>
    <w:rsid w:val="0B6FADC6"/>
    <w:rsid w:val="0B7413A2"/>
    <w:rsid w:val="0B87FC46"/>
    <w:rsid w:val="0B8BBDD3"/>
    <w:rsid w:val="0B959AF5"/>
    <w:rsid w:val="0BA2670F"/>
    <w:rsid w:val="0BB744BE"/>
    <w:rsid w:val="0BBABF35"/>
    <w:rsid w:val="0BC270B2"/>
    <w:rsid w:val="0BC285AF"/>
    <w:rsid w:val="0BCEFD3D"/>
    <w:rsid w:val="0BD07FCA"/>
    <w:rsid w:val="0BD85446"/>
    <w:rsid w:val="0BE60B19"/>
    <w:rsid w:val="0BE89CD0"/>
    <w:rsid w:val="0BEEFCEC"/>
    <w:rsid w:val="0BF00D34"/>
    <w:rsid w:val="0C1A3272"/>
    <w:rsid w:val="0C1F42BC"/>
    <w:rsid w:val="0C2CBAF5"/>
    <w:rsid w:val="0C437BEC"/>
    <w:rsid w:val="0C62B791"/>
    <w:rsid w:val="0C7937AC"/>
    <w:rsid w:val="0C84B6C1"/>
    <w:rsid w:val="0C8FA0C0"/>
    <w:rsid w:val="0C9163EB"/>
    <w:rsid w:val="0C93BB9E"/>
    <w:rsid w:val="0C9FF464"/>
    <w:rsid w:val="0CC02499"/>
    <w:rsid w:val="0CC37EC5"/>
    <w:rsid w:val="0CCC1374"/>
    <w:rsid w:val="0CE9D562"/>
    <w:rsid w:val="0CF503EC"/>
    <w:rsid w:val="0D0191C1"/>
    <w:rsid w:val="0D06857D"/>
    <w:rsid w:val="0D0C7C5E"/>
    <w:rsid w:val="0D0E8721"/>
    <w:rsid w:val="0D1BF7E6"/>
    <w:rsid w:val="0D23CCA7"/>
    <w:rsid w:val="0D2FA32B"/>
    <w:rsid w:val="0D3041DD"/>
    <w:rsid w:val="0D3BDF61"/>
    <w:rsid w:val="0D439490"/>
    <w:rsid w:val="0D584640"/>
    <w:rsid w:val="0D618127"/>
    <w:rsid w:val="0D64B0D3"/>
    <w:rsid w:val="0D6A3497"/>
    <w:rsid w:val="0D73C089"/>
    <w:rsid w:val="0D76A05A"/>
    <w:rsid w:val="0D79B57F"/>
    <w:rsid w:val="0D8593B0"/>
    <w:rsid w:val="0D87402E"/>
    <w:rsid w:val="0D8A9811"/>
    <w:rsid w:val="0D918A09"/>
    <w:rsid w:val="0D9DCD4F"/>
    <w:rsid w:val="0DB2DB99"/>
    <w:rsid w:val="0DB57A6D"/>
    <w:rsid w:val="0DB6A896"/>
    <w:rsid w:val="0DBCFB39"/>
    <w:rsid w:val="0DC26C82"/>
    <w:rsid w:val="0DC7B86A"/>
    <w:rsid w:val="0DF8E657"/>
    <w:rsid w:val="0DF998C6"/>
    <w:rsid w:val="0DFD27DA"/>
    <w:rsid w:val="0E18B416"/>
    <w:rsid w:val="0E222164"/>
    <w:rsid w:val="0E259913"/>
    <w:rsid w:val="0E26009F"/>
    <w:rsid w:val="0E31CCF2"/>
    <w:rsid w:val="0E398F82"/>
    <w:rsid w:val="0E3CC780"/>
    <w:rsid w:val="0E4079E3"/>
    <w:rsid w:val="0E417BA8"/>
    <w:rsid w:val="0E418B77"/>
    <w:rsid w:val="0E47F0E0"/>
    <w:rsid w:val="0E4CDA43"/>
    <w:rsid w:val="0E5DBADC"/>
    <w:rsid w:val="0E65876F"/>
    <w:rsid w:val="0E6FC893"/>
    <w:rsid w:val="0E786952"/>
    <w:rsid w:val="0E8A6C21"/>
    <w:rsid w:val="0E8E39D1"/>
    <w:rsid w:val="0E8E7B64"/>
    <w:rsid w:val="0EA05940"/>
    <w:rsid w:val="0EA53119"/>
    <w:rsid w:val="0EA596BE"/>
    <w:rsid w:val="0EA5BF1A"/>
    <w:rsid w:val="0EA6613F"/>
    <w:rsid w:val="0EB38994"/>
    <w:rsid w:val="0EB52512"/>
    <w:rsid w:val="0EB5836A"/>
    <w:rsid w:val="0EC47DDD"/>
    <w:rsid w:val="0EC5DF3A"/>
    <w:rsid w:val="0EC91164"/>
    <w:rsid w:val="0EED3173"/>
    <w:rsid w:val="0EF33A25"/>
    <w:rsid w:val="0EFC56FB"/>
    <w:rsid w:val="0EFF5959"/>
    <w:rsid w:val="0F099237"/>
    <w:rsid w:val="0F14178C"/>
    <w:rsid w:val="0F3DBB2A"/>
    <w:rsid w:val="0F44B52C"/>
    <w:rsid w:val="0F54CC8D"/>
    <w:rsid w:val="0F557687"/>
    <w:rsid w:val="0F56E864"/>
    <w:rsid w:val="0F5864C0"/>
    <w:rsid w:val="0F5933AB"/>
    <w:rsid w:val="0F5F7DD8"/>
    <w:rsid w:val="0F61E9C0"/>
    <w:rsid w:val="0F68E479"/>
    <w:rsid w:val="0F7E7C75"/>
    <w:rsid w:val="0F9465EB"/>
    <w:rsid w:val="0F9568D0"/>
    <w:rsid w:val="0F9D14ED"/>
    <w:rsid w:val="0FA065F2"/>
    <w:rsid w:val="0FAFED30"/>
    <w:rsid w:val="0FCD48DB"/>
    <w:rsid w:val="0FE42EB2"/>
    <w:rsid w:val="0FE960DC"/>
    <w:rsid w:val="0FFAEE89"/>
    <w:rsid w:val="0FFB35F4"/>
    <w:rsid w:val="0FFD6EB4"/>
    <w:rsid w:val="1027F35A"/>
    <w:rsid w:val="102B9AFC"/>
    <w:rsid w:val="103B682A"/>
    <w:rsid w:val="1070BC4C"/>
    <w:rsid w:val="109064A6"/>
    <w:rsid w:val="10A02BE0"/>
    <w:rsid w:val="10A6F231"/>
    <w:rsid w:val="10A8A9A8"/>
    <w:rsid w:val="10AABD46"/>
    <w:rsid w:val="10ABBA2B"/>
    <w:rsid w:val="10C6C2A4"/>
    <w:rsid w:val="10CD2332"/>
    <w:rsid w:val="10CFC15D"/>
    <w:rsid w:val="10D4D254"/>
    <w:rsid w:val="10D5A1DF"/>
    <w:rsid w:val="10DB8133"/>
    <w:rsid w:val="10DF58C6"/>
    <w:rsid w:val="10F43C79"/>
    <w:rsid w:val="10FAB6AB"/>
    <w:rsid w:val="1119873D"/>
    <w:rsid w:val="11227107"/>
    <w:rsid w:val="11721549"/>
    <w:rsid w:val="117E4844"/>
    <w:rsid w:val="119A0FFD"/>
    <w:rsid w:val="11A4CF07"/>
    <w:rsid w:val="11A544AC"/>
    <w:rsid w:val="11AEC48B"/>
    <w:rsid w:val="11BEFCCE"/>
    <w:rsid w:val="11D8910E"/>
    <w:rsid w:val="11DDFE4B"/>
    <w:rsid w:val="11E4FF08"/>
    <w:rsid w:val="11E794D6"/>
    <w:rsid w:val="11E81FCE"/>
    <w:rsid w:val="11EA11E6"/>
    <w:rsid w:val="121EA640"/>
    <w:rsid w:val="12217149"/>
    <w:rsid w:val="12240C01"/>
    <w:rsid w:val="12343CBE"/>
    <w:rsid w:val="123A3D91"/>
    <w:rsid w:val="123CA1F8"/>
    <w:rsid w:val="123DE344"/>
    <w:rsid w:val="125AA89E"/>
    <w:rsid w:val="125EF16D"/>
    <w:rsid w:val="1272752D"/>
    <w:rsid w:val="1278DF05"/>
    <w:rsid w:val="127ABC24"/>
    <w:rsid w:val="1284909E"/>
    <w:rsid w:val="12933F62"/>
    <w:rsid w:val="129893B1"/>
    <w:rsid w:val="129B822F"/>
    <w:rsid w:val="129BD052"/>
    <w:rsid w:val="12A46B93"/>
    <w:rsid w:val="12AD2F63"/>
    <w:rsid w:val="12B5E433"/>
    <w:rsid w:val="12C4E5A8"/>
    <w:rsid w:val="12C4F467"/>
    <w:rsid w:val="12CD3867"/>
    <w:rsid w:val="12D3E151"/>
    <w:rsid w:val="12D5E584"/>
    <w:rsid w:val="12D855F5"/>
    <w:rsid w:val="12DDCBEB"/>
    <w:rsid w:val="12E4CE80"/>
    <w:rsid w:val="12E6944B"/>
    <w:rsid w:val="12F6F460"/>
    <w:rsid w:val="12F955B9"/>
    <w:rsid w:val="13013B62"/>
    <w:rsid w:val="1303622E"/>
    <w:rsid w:val="1307EA25"/>
    <w:rsid w:val="131BD728"/>
    <w:rsid w:val="131F4421"/>
    <w:rsid w:val="13222278"/>
    <w:rsid w:val="1325C0D3"/>
    <w:rsid w:val="132CABB9"/>
    <w:rsid w:val="1331A2A6"/>
    <w:rsid w:val="1331DAEA"/>
    <w:rsid w:val="133554CB"/>
    <w:rsid w:val="1337BA1B"/>
    <w:rsid w:val="13475A8E"/>
    <w:rsid w:val="13484DA4"/>
    <w:rsid w:val="134D96A3"/>
    <w:rsid w:val="134ECE68"/>
    <w:rsid w:val="1368BB22"/>
    <w:rsid w:val="13719EEF"/>
    <w:rsid w:val="137A189F"/>
    <w:rsid w:val="13804227"/>
    <w:rsid w:val="1381D931"/>
    <w:rsid w:val="1394541A"/>
    <w:rsid w:val="139FD270"/>
    <w:rsid w:val="13A487D4"/>
    <w:rsid w:val="13A94275"/>
    <w:rsid w:val="13A95CF2"/>
    <w:rsid w:val="13AD86E7"/>
    <w:rsid w:val="13AFA969"/>
    <w:rsid w:val="13B80F5A"/>
    <w:rsid w:val="13C7F2F9"/>
    <w:rsid w:val="13CD17FD"/>
    <w:rsid w:val="13D65287"/>
    <w:rsid w:val="13DD4FCB"/>
    <w:rsid w:val="13DF8C8E"/>
    <w:rsid w:val="13E8668B"/>
    <w:rsid w:val="13F032A3"/>
    <w:rsid w:val="13F11698"/>
    <w:rsid w:val="1409C558"/>
    <w:rsid w:val="1446707F"/>
    <w:rsid w:val="1454A7BA"/>
    <w:rsid w:val="14579425"/>
    <w:rsid w:val="147C53D9"/>
    <w:rsid w:val="147E48EE"/>
    <w:rsid w:val="149198ED"/>
    <w:rsid w:val="14BDE789"/>
    <w:rsid w:val="14C4CB9C"/>
    <w:rsid w:val="14C56F09"/>
    <w:rsid w:val="14CA93A1"/>
    <w:rsid w:val="14DC28C7"/>
    <w:rsid w:val="14E1D52C"/>
    <w:rsid w:val="14E273F2"/>
    <w:rsid w:val="14E2C6E2"/>
    <w:rsid w:val="14E6D237"/>
    <w:rsid w:val="14E7E9B6"/>
    <w:rsid w:val="14EDA307"/>
    <w:rsid w:val="14EEA490"/>
    <w:rsid w:val="14EFDB22"/>
    <w:rsid w:val="14F275BA"/>
    <w:rsid w:val="1503DC26"/>
    <w:rsid w:val="150478FC"/>
    <w:rsid w:val="1507B938"/>
    <w:rsid w:val="151780CB"/>
    <w:rsid w:val="1523761E"/>
    <w:rsid w:val="152B4DFC"/>
    <w:rsid w:val="153360CB"/>
    <w:rsid w:val="1534B37C"/>
    <w:rsid w:val="1548A639"/>
    <w:rsid w:val="154DB428"/>
    <w:rsid w:val="154EDECC"/>
    <w:rsid w:val="155109A6"/>
    <w:rsid w:val="1555F312"/>
    <w:rsid w:val="1557075A"/>
    <w:rsid w:val="15650F67"/>
    <w:rsid w:val="156B504C"/>
    <w:rsid w:val="15779ED2"/>
    <w:rsid w:val="157F45B5"/>
    <w:rsid w:val="158CC1D3"/>
    <w:rsid w:val="159B4CF6"/>
    <w:rsid w:val="15AE05D1"/>
    <w:rsid w:val="15C8548C"/>
    <w:rsid w:val="15CBA5B4"/>
    <w:rsid w:val="15D9350B"/>
    <w:rsid w:val="15D9EE0F"/>
    <w:rsid w:val="15EE1C6D"/>
    <w:rsid w:val="16008E53"/>
    <w:rsid w:val="1601BB80"/>
    <w:rsid w:val="160C8750"/>
    <w:rsid w:val="160CB862"/>
    <w:rsid w:val="1611A3DB"/>
    <w:rsid w:val="1624B219"/>
    <w:rsid w:val="16294F1B"/>
    <w:rsid w:val="16376987"/>
    <w:rsid w:val="163FC70B"/>
    <w:rsid w:val="1648DE6C"/>
    <w:rsid w:val="164CEAA6"/>
    <w:rsid w:val="164E4495"/>
    <w:rsid w:val="164EB5AB"/>
    <w:rsid w:val="16537435"/>
    <w:rsid w:val="16568ADF"/>
    <w:rsid w:val="16597C0C"/>
    <w:rsid w:val="166A82E3"/>
    <w:rsid w:val="16742ECC"/>
    <w:rsid w:val="16755F2F"/>
    <w:rsid w:val="167B4C81"/>
    <w:rsid w:val="168F6AEB"/>
    <w:rsid w:val="1693BBC6"/>
    <w:rsid w:val="16AA1D44"/>
    <w:rsid w:val="16AAC761"/>
    <w:rsid w:val="16AEED48"/>
    <w:rsid w:val="16B2A80E"/>
    <w:rsid w:val="16B8C256"/>
    <w:rsid w:val="16BB0D7D"/>
    <w:rsid w:val="16C74054"/>
    <w:rsid w:val="16C8BD3B"/>
    <w:rsid w:val="16CAB540"/>
    <w:rsid w:val="16E5FE02"/>
    <w:rsid w:val="16ECB608"/>
    <w:rsid w:val="16F90541"/>
    <w:rsid w:val="170F79F3"/>
    <w:rsid w:val="1716FAEF"/>
    <w:rsid w:val="17184BA0"/>
    <w:rsid w:val="172443B0"/>
    <w:rsid w:val="1725A842"/>
    <w:rsid w:val="173D8DF5"/>
    <w:rsid w:val="1741CA94"/>
    <w:rsid w:val="17583904"/>
    <w:rsid w:val="178BA4AE"/>
    <w:rsid w:val="1791A815"/>
    <w:rsid w:val="17A94A3B"/>
    <w:rsid w:val="17AB3C80"/>
    <w:rsid w:val="17B08246"/>
    <w:rsid w:val="17B79E9B"/>
    <w:rsid w:val="17BF476D"/>
    <w:rsid w:val="17C69E5B"/>
    <w:rsid w:val="17E286C5"/>
    <w:rsid w:val="17EA641A"/>
    <w:rsid w:val="180119A2"/>
    <w:rsid w:val="18066EEF"/>
    <w:rsid w:val="18185EB0"/>
    <w:rsid w:val="1819E8A0"/>
    <w:rsid w:val="181C186B"/>
    <w:rsid w:val="181E9102"/>
    <w:rsid w:val="182169A1"/>
    <w:rsid w:val="18218BE4"/>
    <w:rsid w:val="183423D1"/>
    <w:rsid w:val="183966DF"/>
    <w:rsid w:val="1854DD26"/>
    <w:rsid w:val="18563E7A"/>
    <w:rsid w:val="1858436C"/>
    <w:rsid w:val="18589815"/>
    <w:rsid w:val="18596301"/>
    <w:rsid w:val="185E51BE"/>
    <w:rsid w:val="1873FCE7"/>
    <w:rsid w:val="18759876"/>
    <w:rsid w:val="1885B1A4"/>
    <w:rsid w:val="188FBF67"/>
    <w:rsid w:val="18922296"/>
    <w:rsid w:val="189D6D2C"/>
    <w:rsid w:val="18BE8E5E"/>
    <w:rsid w:val="18CEF01B"/>
    <w:rsid w:val="18D8A083"/>
    <w:rsid w:val="18E9A3D0"/>
    <w:rsid w:val="18EEF831"/>
    <w:rsid w:val="18F53D44"/>
    <w:rsid w:val="190A5EEF"/>
    <w:rsid w:val="191592FD"/>
    <w:rsid w:val="19184DBA"/>
    <w:rsid w:val="1921DEBF"/>
    <w:rsid w:val="192525B7"/>
    <w:rsid w:val="192B82B6"/>
    <w:rsid w:val="193565DA"/>
    <w:rsid w:val="195F2F75"/>
    <w:rsid w:val="196CAF01"/>
    <w:rsid w:val="1980C7B6"/>
    <w:rsid w:val="1986BCCD"/>
    <w:rsid w:val="198A3CF6"/>
    <w:rsid w:val="19A68ECF"/>
    <w:rsid w:val="19A91CCA"/>
    <w:rsid w:val="19AE4AA7"/>
    <w:rsid w:val="19B24379"/>
    <w:rsid w:val="19B3A8C1"/>
    <w:rsid w:val="19BA6C5A"/>
    <w:rsid w:val="19C17ADC"/>
    <w:rsid w:val="19C5D92C"/>
    <w:rsid w:val="19D18AAE"/>
    <w:rsid w:val="19D2790D"/>
    <w:rsid w:val="19DF4837"/>
    <w:rsid w:val="19E725CB"/>
    <w:rsid w:val="19EB7CD3"/>
    <w:rsid w:val="19F04FF3"/>
    <w:rsid w:val="19F79820"/>
    <w:rsid w:val="1A085772"/>
    <w:rsid w:val="1A1E1EF1"/>
    <w:rsid w:val="1A223D9E"/>
    <w:rsid w:val="1A28BCF8"/>
    <w:rsid w:val="1A31787B"/>
    <w:rsid w:val="1A35BABC"/>
    <w:rsid w:val="1A3B8453"/>
    <w:rsid w:val="1A462BF1"/>
    <w:rsid w:val="1A483B3B"/>
    <w:rsid w:val="1A5D2D38"/>
    <w:rsid w:val="1A5E460E"/>
    <w:rsid w:val="1A62B38A"/>
    <w:rsid w:val="1AA4CBAB"/>
    <w:rsid w:val="1AB01481"/>
    <w:rsid w:val="1AB3893E"/>
    <w:rsid w:val="1AB4BCDE"/>
    <w:rsid w:val="1AC0F618"/>
    <w:rsid w:val="1AC3222A"/>
    <w:rsid w:val="1AD9A12E"/>
    <w:rsid w:val="1AF84AE3"/>
    <w:rsid w:val="1AFE0B6C"/>
    <w:rsid w:val="1AFFE68A"/>
    <w:rsid w:val="1B110F2F"/>
    <w:rsid w:val="1B19B45A"/>
    <w:rsid w:val="1B213A88"/>
    <w:rsid w:val="1B25AFC5"/>
    <w:rsid w:val="1B54530E"/>
    <w:rsid w:val="1B54A161"/>
    <w:rsid w:val="1B59D174"/>
    <w:rsid w:val="1B6B4DEC"/>
    <w:rsid w:val="1B769E3F"/>
    <w:rsid w:val="1B8A661E"/>
    <w:rsid w:val="1B9E5AD8"/>
    <w:rsid w:val="1BAC9876"/>
    <w:rsid w:val="1BBA51DD"/>
    <w:rsid w:val="1BBDCCDB"/>
    <w:rsid w:val="1BDFAE34"/>
    <w:rsid w:val="1BE9B70A"/>
    <w:rsid w:val="1BEB1508"/>
    <w:rsid w:val="1BEC8D76"/>
    <w:rsid w:val="1BF93555"/>
    <w:rsid w:val="1C0349A9"/>
    <w:rsid w:val="1C065D48"/>
    <w:rsid w:val="1C0840D0"/>
    <w:rsid w:val="1C145514"/>
    <w:rsid w:val="1C1ADB2B"/>
    <w:rsid w:val="1C20A427"/>
    <w:rsid w:val="1C22F4E3"/>
    <w:rsid w:val="1C409EC9"/>
    <w:rsid w:val="1C49B8B7"/>
    <w:rsid w:val="1C62B4E6"/>
    <w:rsid w:val="1C66A14D"/>
    <w:rsid w:val="1C6F05A5"/>
    <w:rsid w:val="1C73E77D"/>
    <w:rsid w:val="1C7B95A1"/>
    <w:rsid w:val="1C7EA127"/>
    <w:rsid w:val="1C7F7517"/>
    <w:rsid w:val="1C919DF6"/>
    <w:rsid w:val="1CCB4FDC"/>
    <w:rsid w:val="1CCF43DD"/>
    <w:rsid w:val="1CE87428"/>
    <w:rsid w:val="1CE88AC0"/>
    <w:rsid w:val="1CEF91EE"/>
    <w:rsid w:val="1CF1F1DE"/>
    <w:rsid w:val="1CF2ACDA"/>
    <w:rsid w:val="1D005359"/>
    <w:rsid w:val="1D050E71"/>
    <w:rsid w:val="1D05C300"/>
    <w:rsid w:val="1D08914F"/>
    <w:rsid w:val="1D19A76A"/>
    <w:rsid w:val="1D23A421"/>
    <w:rsid w:val="1D24219C"/>
    <w:rsid w:val="1D30B0F9"/>
    <w:rsid w:val="1D3460E2"/>
    <w:rsid w:val="1D362389"/>
    <w:rsid w:val="1D404D81"/>
    <w:rsid w:val="1D46BE01"/>
    <w:rsid w:val="1D48B46E"/>
    <w:rsid w:val="1D505B41"/>
    <w:rsid w:val="1D5060DF"/>
    <w:rsid w:val="1D5B71F7"/>
    <w:rsid w:val="1D67061F"/>
    <w:rsid w:val="1D6EFCAB"/>
    <w:rsid w:val="1D75381D"/>
    <w:rsid w:val="1D797AD9"/>
    <w:rsid w:val="1D812CEC"/>
    <w:rsid w:val="1D902E01"/>
    <w:rsid w:val="1D9EAECA"/>
    <w:rsid w:val="1D9EFC6C"/>
    <w:rsid w:val="1DA2BBB1"/>
    <w:rsid w:val="1DA38B35"/>
    <w:rsid w:val="1DBE68AE"/>
    <w:rsid w:val="1DBED645"/>
    <w:rsid w:val="1DDAA0DC"/>
    <w:rsid w:val="1DE76593"/>
    <w:rsid w:val="1E06A78E"/>
    <w:rsid w:val="1E1EBA0F"/>
    <w:rsid w:val="1E35AC24"/>
    <w:rsid w:val="1E38408E"/>
    <w:rsid w:val="1E3BF86B"/>
    <w:rsid w:val="1E43AE98"/>
    <w:rsid w:val="1E557022"/>
    <w:rsid w:val="1E569895"/>
    <w:rsid w:val="1E5E5C5D"/>
    <w:rsid w:val="1E855887"/>
    <w:rsid w:val="1E8A3E10"/>
    <w:rsid w:val="1E8B16CF"/>
    <w:rsid w:val="1E95AFE8"/>
    <w:rsid w:val="1E991921"/>
    <w:rsid w:val="1EB37ED4"/>
    <w:rsid w:val="1EB3CE8F"/>
    <w:rsid w:val="1EBFF92B"/>
    <w:rsid w:val="1EC9F53F"/>
    <w:rsid w:val="1ECAEF70"/>
    <w:rsid w:val="1ECD1CC4"/>
    <w:rsid w:val="1EDB5DC6"/>
    <w:rsid w:val="1EDED439"/>
    <w:rsid w:val="1EE031B7"/>
    <w:rsid w:val="1EE37596"/>
    <w:rsid w:val="1EE597B5"/>
    <w:rsid w:val="1EF71B1A"/>
    <w:rsid w:val="1EFBCD04"/>
    <w:rsid w:val="1EFFD48F"/>
    <w:rsid w:val="1F089DA9"/>
    <w:rsid w:val="1F2437CE"/>
    <w:rsid w:val="1F2E0D8E"/>
    <w:rsid w:val="1F2F5F4D"/>
    <w:rsid w:val="1F3950C2"/>
    <w:rsid w:val="1F4CEDBF"/>
    <w:rsid w:val="1F4E6A69"/>
    <w:rsid w:val="1F55B299"/>
    <w:rsid w:val="1F646DEC"/>
    <w:rsid w:val="1F677449"/>
    <w:rsid w:val="1F6DFADF"/>
    <w:rsid w:val="1F77F53B"/>
    <w:rsid w:val="1F7B57C4"/>
    <w:rsid w:val="1F7CFDF5"/>
    <w:rsid w:val="1F821A63"/>
    <w:rsid w:val="1F882E7E"/>
    <w:rsid w:val="1F88C710"/>
    <w:rsid w:val="1F930FE7"/>
    <w:rsid w:val="1F98075E"/>
    <w:rsid w:val="1F986513"/>
    <w:rsid w:val="1F9B37FE"/>
    <w:rsid w:val="1F9E87DB"/>
    <w:rsid w:val="1FA925D7"/>
    <w:rsid w:val="1FB2F05B"/>
    <w:rsid w:val="1FD4BCA9"/>
    <w:rsid w:val="1FE30223"/>
    <w:rsid w:val="1FE76D35"/>
    <w:rsid w:val="1FEAF6B6"/>
    <w:rsid w:val="1FFCE1F9"/>
    <w:rsid w:val="1FFF9035"/>
    <w:rsid w:val="200320C8"/>
    <w:rsid w:val="201108BB"/>
    <w:rsid w:val="202FB076"/>
    <w:rsid w:val="203B0A57"/>
    <w:rsid w:val="204033C1"/>
    <w:rsid w:val="204E33A4"/>
    <w:rsid w:val="204F551A"/>
    <w:rsid w:val="2056678E"/>
    <w:rsid w:val="20645C4A"/>
    <w:rsid w:val="206BC0E1"/>
    <w:rsid w:val="20723EE5"/>
    <w:rsid w:val="2087A9AF"/>
    <w:rsid w:val="208938D4"/>
    <w:rsid w:val="208D3B0B"/>
    <w:rsid w:val="20904E7A"/>
    <w:rsid w:val="2092FD9E"/>
    <w:rsid w:val="20A6B34E"/>
    <w:rsid w:val="20C4F605"/>
    <w:rsid w:val="20C9C584"/>
    <w:rsid w:val="20E0AD20"/>
    <w:rsid w:val="20E32075"/>
    <w:rsid w:val="20E8ECEA"/>
    <w:rsid w:val="20FB8787"/>
    <w:rsid w:val="2102C966"/>
    <w:rsid w:val="21282BE6"/>
    <w:rsid w:val="212BA827"/>
    <w:rsid w:val="2135C7DB"/>
    <w:rsid w:val="2138F7DD"/>
    <w:rsid w:val="213E8241"/>
    <w:rsid w:val="21427E06"/>
    <w:rsid w:val="214B9FF6"/>
    <w:rsid w:val="214D87A2"/>
    <w:rsid w:val="215002FD"/>
    <w:rsid w:val="215B0A47"/>
    <w:rsid w:val="215C5AC6"/>
    <w:rsid w:val="215F0BDC"/>
    <w:rsid w:val="21634967"/>
    <w:rsid w:val="216F9BC8"/>
    <w:rsid w:val="21742CF9"/>
    <w:rsid w:val="2179F52D"/>
    <w:rsid w:val="217E08D8"/>
    <w:rsid w:val="21987985"/>
    <w:rsid w:val="21AE2230"/>
    <w:rsid w:val="21C78A07"/>
    <w:rsid w:val="21C88FDB"/>
    <w:rsid w:val="21CB9DC8"/>
    <w:rsid w:val="21DA0782"/>
    <w:rsid w:val="21DB6ED2"/>
    <w:rsid w:val="21E2023E"/>
    <w:rsid w:val="21EA5C65"/>
    <w:rsid w:val="21F262EC"/>
    <w:rsid w:val="21F76001"/>
    <w:rsid w:val="21FFB965"/>
    <w:rsid w:val="221420E7"/>
    <w:rsid w:val="221951D3"/>
    <w:rsid w:val="221F32B7"/>
    <w:rsid w:val="222011FF"/>
    <w:rsid w:val="222D26C1"/>
    <w:rsid w:val="22341FE7"/>
    <w:rsid w:val="22359A42"/>
    <w:rsid w:val="2243B251"/>
    <w:rsid w:val="2246A62D"/>
    <w:rsid w:val="224BEC5C"/>
    <w:rsid w:val="2250D000"/>
    <w:rsid w:val="22589DC3"/>
    <w:rsid w:val="2259CBBB"/>
    <w:rsid w:val="226C31AE"/>
    <w:rsid w:val="22711782"/>
    <w:rsid w:val="22797DD4"/>
    <w:rsid w:val="227BCE4C"/>
    <w:rsid w:val="227D9FD9"/>
    <w:rsid w:val="228BC4F9"/>
    <w:rsid w:val="22951BD5"/>
    <w:rsid w:val="229E1C32"/>
    <w:rsid w:val="229EC922"/>
    <w:rsid w:val="22A1670E"/>
    <w:rsid w:val="22A4A2D4"/>
    <w:rsid w:val="22A9684E"/>
    <w:rsid w:val="22ABE4A0"/>
    <w:rsid w:val="22AC0EDA"/>
    <w:rsid w:val="22BE2D38"/>
    <w:rsid w:val="22CAF24E"/>
    <w:rsid w:val="22DF2392"/>
    <w:rsid w:val="22E7FC2A"/>
    <w:rsid w:val="22E834FA"/>
    <w:rsid w:val="22E94B09"/>
    <w:rsid w:val="22EAB7F5"/>
    <w:rsid w:val="22EB387D"/>
    <w:rsid w:val="22F3D7E9"/>
    <w:rsid w:val="22F4A5B3"/>
    <w:rsid w:val="230323A6"/>
    <w:rsid w:val="23037547"/>
    <w:rsid w:val="231AD138"/>
    <w:rsid w:val="231B71BD"/>
    <w:rsid w:val="2322E05B"/>
    <w:rsid w:val="23253088"/>
    <w:rsid w:val="233005F5"/>
    <w:rsid w:val="23396F92"/>
    <w:rsid w:val="233EF7DE"/>
    <w:rsid w:val="23431F14"/>
    <w:rsid w:val="234BC374"/>
    <w:rsid w:val="23515F29"/>
    <w:rsid w:val="2352232A"/>
    <w:rsid w:val="23650900"/>
    <w:rsid w:val="237C7ED1"/>
    <w:rsid w:val="2386CDF7"/>
    <w:rsid w:val="2389EFCF"/>
    <w:rsid w:val="238C2DCE"/>
    <w:rsid w:val="239314FE"/>
    <w:rsid w:val="239FEDCE"/>
    <w:rsid w:val="23A622CA"/>
    <w:rsid w:val="23B8363F"/>
    <w:rsid w:val="23C4AC41"/>
    <w:rsid w:val="23C9F23B"/>
    <w:rsid w:val="23CA9BE3"/>
    <w:rsid w:val="23CABDD2"/>
    <w:rsid w:val="23D30FC1"/>
    <w:rsid w:val="23DB6C69"/>
    <w:rsid w:val="23DC8D6D"/>
    <w:rsid w:val="23ED0E06"/>
    <w:rsid w:val="23F03BFF"/>
    <w:rsid w:val="24083694"/>
    <w:rsid w:val="241158F9"/>
    <w:rsid w:val="2413DE31"/>
    <w:rsid w:val="2417D9CC"/>
    <w:rsid w:val="24200E17"/>
    <w:rsid w:val="242337AD"/>
    <w:rsid w:val="24250FA3"/>
    <w:rsid w:val="2427AEBD"/>
    <w:rsid w:val="2428A51F"/>
    <w:rsid w:val="242FA309"/>
    <w:rsid w:val="24383AEA"/>
    <w:rsid w:val="2441EEED"/>
    <w:rsid w:val="245FE41A"/>
    <w:rsid w:val="24687C52"/>
    <w:rsid w:val="246AE4F0"/>
    <w:rsid w:val="24722D7F"/>
    <w:rsid w:val="2474B243"/>
    <w:rsid w:val="247582C3"/>
    <w:rsid w:val="2491291E"/>
    <w:rsid w:val="2491F3DE"/>
    <w:rsid w:val="249B6D59"/>
    <w:rsid w:val="24A57409"/>
    <w:rsid w:val="24B30791"/>
    <w:rsid w:val="24BC1B2D"/>
    <w:rsid w:val="24C1FBD8"/>
    <w:rsid w:val="24D7559E"/>
    <w:rsid w:val="24E09B1F"/>
    <w:rsid w:val="24E2A6DE"/>
    <w:rsid w:val="24E8B98A"/>
    <w:rsid w:val="24F579DF"/>
    <w:rsid w:val="24F61594"/>
    <w:rsid w:val="24FA4D55"/>
    <w:rsid w:val="2506F694"/>
    <w:rsid w:val="25187C77"/>
    <w:rsid w:val="251F5B36"/>
    <w:rsid w:val="252AEC16"/>
    <w:rsid w:val="252B5412"/>
    <w:rsid w:val="25309038"/>
    <w:rsid w:val="2533F15F"/>
    <w:rsid w:val="25598C6E"/>
    <w:rsid w:val="25697289"/>
    <w:rsid w:val="25716097"/>
    <w:rsid w:val="257ADB15"/>
    <w:rsid w:val="257E39F4"/>
    <w:rsid w:val="2589FC51"/>
    <w:rsid w:val="25A20E76"/>
    <w:rsid w:val="25A716FC"/>
    <w:rsid w:val="25A975AD"/>
    <w:rsid w:val="25D7C507"/>
    <w:rsid w:val="25D98947"/>
    <w:rsid w:val="25E924B4"/>
    <w:rsid w:val="25ED124B"/>
    <w:rsid w:val="25FEF073"/>
    <w:rsid w:val="2601836E"/>
    <w:rsid w:val="260BA760"/>
    <w:rsid w:val="26111440"/>
    <w:rsid w:val="26149768"/>
    <w:rsid w:val="2615162F"/>
    <w:rsid w:val="2615A9D8"/>
    <w:rsid w:val="261A5DBC"/>
    <w:rsid w:val="263DC453"/>
    <w:rsid w:val="26553F8F"/>
    <w:rsid w:val="265D30D5"/>
    <w:rsid w:val="2686A773"/>
    <w:rsid w:val="2687A256"/>
    <w:rsid w:val="268DF1EF"/>
    <w:rsid w:val="26905E7D"/>
    <w:rsid w:val="26A1F7F2"/>
    <w:rsid w:val="26B32150"/>
    <w:rsid w:val="26BD4BB4"/>
    <w:rsid w:val="26D5D030"/>
    <w:rsid w:val="26D8949D"/>
    <w:rsid w:val="26E035BB"/>
    <w:rsid w:val="26EE8A41"/>
    <w:rsid w:val="26F9B985"/>
    <w:rsid w:val="26FAD000"/>
    <w:rsid w:val="2708B457"/>
    <w:rsid w:val="270DF72B"/>
    <w:rsid w:val="27148DD4"/>
    <w:rsid w:val="271EB0E0"/>
    <w:rsid w:val="27354DBD"/>
    <w:rsid w:val="27380076"/>
    <w:rsid w:val="2742103A"/>
    <w:rsid w:val="2742C89D"/>
    <w:rsid w:val="27431BF5"/>
    <w:rsid w:val="2756A9BC"/>
    <w:rsid w:val="27605D3C"/>
    <w:rsid w:val="27649BA3"/>
    <w:rsid w:val="27671B30"/>
    <w:rsid w:val="27864835"/>
    <w:rsid w:val="278C2EA4"/>
    <w:rsid w:val="27909931"/>
    <w:rsid w:val="27A66317"/>
    <w:rsid w:val="27ABFAB2"/>
    <w:rsid w:val="27BB6D4D"/>
    <w:rsid w:val="27C142AE"/>
    <w:rsid w:val="27C397C9"/>
    <w:rsid w:val="27D298F8"/>
    <w:rsid w:val="27D2F921"/>
    <w:rsid w:val="27D846A4"/>
    <w:rsid w:val="27DDA3DF"/>
    <w:rsid w:val="27E5A458"/>
    <w:rsid w:val="27ECD779"/>
    <w:rsid w:val="27EEE2E0"/>
    <w:rsid w:val="280196F9"/>
    <w:rsid w:val="280A0863"/>
    <w:rsid w:val="28144A14"/>
    <w:rsid w:val="28167875"/>
    <w:rsid w:val="28198327"/>
    <w:rsid w:val="281B2247"/>
    <w:rsid w:val="281E98C5"/>
    <w:rsid w:val="28246D5E"/>
    <w:rsid w:val="2824F738"/>
    <w:rsid w:val="28273F80"/>
    <w:rsid w:val="28433BBF"/>
    <w:rsid w:val="284A1D86"/>
    <w:rsid w:val="28508329"/>
    <w:rsid w:val="2854CC54"/>
    <w:rsid w:val="28605CAC"/>
    <w:rsid w:val="2867E1EC"/>
    <w:rsid w:val="286E29B0"/>
    <w:rsid w:val="286E6736"/>
    <w:rsid w:val="287E4D43"/>
    <w:rsid w:val="287F8B77"/>
    <w:rsid w:val="288F8C28"/>
    <w:rsid w:val="289BA152"/>
    <w:rsid w:val="28AE9A62"/>
    <w:rsid w:val="28B27D4C"/>
    <w:rsid w:val="28BD227F"/>
    <w:rsid w:val="28C4CFEC"/>
    <w:rsid w:val="28CF8457"/>
    <w:rsid w:val="28D26D7F"/>
    <w:rsid w:val="28D33239"/>
    <w:rsid w:val="28DAADB5"/>
    <w:rsid w:val="28EC78F8"/>
    <w:rsid w:val="2902AD4B"/>
    <w:rsid w:val="2906DE4E"/>
    <w:rsid w:val="2909E252"/>
    <w:rsid w:val="290BF735"/>
    <w:rsid w:val="2918B3CA"/>
    <w:rsid w:val="291BFAD1"/>
    <w:rsid w:val="291C9067"/>
    <w:rsid w:val="29288286"/>
    <w:rsid w:val="2939A145"/>
    <w:rsid w:val="293C123F"/>
    <w:rsid w:val="294CF2B5"/>
    <w:rsid w:val="29595F13"/>
    <w:rsid w:val="295A3C0F"/>
    <w:rsid w:val="295DE6EC"/>
    <w:rsid w:val="296B1A84"/>
    <w:rsid w:val="29718AE4"/>
    <w:rsid w:val="297BA032"/>
    <w:rsid w:val="297D0628"/>
    <w:rsid w:val="29852676"/>
    <w:rsid w:val="298EDC90"/>
    <w:rsid w:val="298FC1E5"/>
    <w:rsid w:val="299FF492"/>
    <w:rsid w:val="29D53B21"/>
    <w:rsid w:val="29E17323"/>
    <w:rsid w:val="29E66AE0"/>
    <w:rsid w:val="29E77C02"/>
    <w:rsid w:val="29EBF1B0"/>
    <w:rsid w:val="29EC2A9E"/>
    <w:rsid w:val="29F7B373"/>
    <w:rsid w:val="2A00EA4F"/>
    <w:rsid w:val="2A0E50DE"/>
    <w:rsid w:val="2A204065"/>
    <w:rsid w:val="2A29EDC8"/>
    <w:rsid w:val="2A2EC726"/>
    <w:rsid w:val="2A2EDAF4"/>
    <w:rsid w:val="2A373DCF"/>
    <w:rsid w:val="2A46A7A1"/>
    <w:rsid w:val="2A4C2845"/>
    <w:rsid w:val="2A4C2E96"/>
    <w:rsid w:val="2A59FB7A"/>
    <w:rsid w:val="2A5E6F04"/>
    <w:rsid w:val="2A69E1AE"/>
    <w:rsid w:val="2A79F5A9"/>
    <w:rsid w:val="2A8C7729"/>
    <w:rsid w:val="2A92C635"/>
    <w:rsid w:val="2AA6F99E"/>
    <w:rsid w:val="2AB582CB"/>
    <w:rsid w:val="2AB91E2C"/>
    <w:rsid w:val="2AC31E84"/>
    <w:rsid w:val="2AC47DB0"/>
    <w:rsid w:val="2AD31D52"/>
    <w:rsid w:val="2AD5CE16"/>
    <w:rsid w:val="2ADB6454"/>
    <w:rsid w:val="2AEBD62E"/>
    <w:rsid w:val="2AEFAAEB"/>
    <w:rsid w:val="2AF099B4"/>
    <w:rsid w:val="2AF30E0F"/>
    <w:rsid w:val="2AF880C9"/>
    <w:rsid w:val="2AFEA5C5"/>
    <w:rsid w:val="2B03E4D0"/>
    <w:rsid w:val="2B0A5AEA"/>
    <w:rsid w:val="2B0D5B45"/>
    <w:rsid w:val="2B13BE09"/>
    <w:rsid w:val="2B1586F4"/>
    <w:rsid w:val="2B185235"/>
    <w:rsid w:val="2B1CF35A"/>
    <w:rsid w:val="2B2D750C"/>
    <w:rsid w:val="2B34263A"/>
    <w:rsid w:val="2B3DB44C"/>
    <w:rsid w:val="2B410B3F"/>
    <w:rsid w:val="2B7317C0"/>
    <w:rsid w:val="2B757264"/>
    <w:rsid w:val="2B757CE7"/>
    <w:rsid w:val="2B9E95DB"/>
    <w:rsid w:val="2BAED3C6"/>
    <w:rsid w:val="2BAFCABF"/>
    <w:rsid w:val="2BBB091B"/>
    <w:rsid w:val="2BBB60EE"/>
    <w:rsid w:val="2BC39627"/>
    <w:rsid w:val="2BDE1782"/>
    <w:rsid w:val="2C078256"/>
    <w:rsid w:val="2C365486"/>
    <w:rsid w:val="2C5E48B9"/>
    <w:rsid w:val="2C6A3374"/>
    <w:rsid w:val="2C6FBCE5"/>
    <w:rsid w:val="2C818EE0"/>
    <w:rsid w:val="2C92D9BC"/>
    <w:rsid w:val="2CA13384"/>
    <w:rsid w:val="2CA275B2"/>
    <w:rsid w:val="2CA86CE0"/>
    <w:rsid w:val="2CAE612D"/>
    <w:rsid w:val="2CAEE0F7"/>
    <w:rsid w:val="2CB02455"/>
    <w:rsid w:val="2CC04C15"/>
    <w:rsid w:val="2CC0D1C6"/>
    <w:rsid w:val="2CCAD7AF"/>
    <w:rsid w:val="2CD4C003"/>
    <w:rsid w:val="2CDBE548"/>
    <w:rsid w:val="2CE4458D"/>
    <w:rsid w:val="2CF1710D"/>
    <w:rsid w:val="2CF1E472"/>
    <w:rsid w:val="2CF924F6"/>
    <w:rsid w:val="2D0C5559"/>
    <w:rsid w:val="2D0DEE6F"/>
    <w:rsid w:val="2D395B77"/>
    <w:rsid w:val="2D4361D4"/>
    <w:rsid w:val="2D47B880"/>
    <w:rsid w:val="2D482D3C"/>
    <w:rsid w:val="2D48C88C"/>
    <w:rsid w:val="2D4AA0AC"/>
    <w:rsid w:val="2D55E7B9"/>
    <w:rsid w:val="2D64FC93"/>
    <w:rsid w:val="2D7BF8C9"/>
    <w:rsid w:val="2D825621"/>
    <w:rsid w:val="2D847678"/>
    <w:rsid w:val="2D94F67B"/>
    <w:rsid w:val="2DA4B9A4"/>
    <w:rsid w:val="2DADB725"/>
    <w:rsid w:val="2DB1E303"/>
    <w:rsid w:val="2DB9E9E3"/>
    <w:rsid w:val="2DBF426F"/>
    <w:rsid w:val="2DDE526F"/>
    <w:rsid w:val="2DEC2681"/>
    <w:rsid w:val="2DEE4077"/>
    <w:rsid w:val="2DF77102"/>
    <w:rsid w:val="2E02BDF5"/>
    <w:rsid w:val="2E0D30B9"/>
    <w:rsid w:val="2E0DC878"/>
    <w:rsid w:val="2E11B945"/>
    <w:rsid w:val="2E4002BD"/>
    <w:rsid w:val="2E4FB5C8"/>
    <w:rsid w:val="2E56E352"/>
    <w:rsid w:val="2E5C2550"/>
    <w:rsid w:val="2E793474"/>
    <w:rsid w:val="2E901CAA"/>
    <w:rsid w:val="2E98E28C"/>
    <w:rsid w:val="2EA6067B"/>
    <w:rsid w:val="2EA86E51"/>
    <w:rsid w:val="2EB0CC2A"/>
    <w:rsid w:val="2EBB3AE3"/>
    <w:rsid w:val="2EC4DA57"/>
    <w:rsid w:val="2ED823B0"/>
    <w:rsid w:val="2ED9AB40"/>
    <w:rsid w:val="2EDE6797"/>
    <w:rsid w:val="2EE39091"/>
    <w:rsid w:val="2EEEB989"/>
    <w:rsid w:val="2EF0B4B5"/>
    <w:rsid w:val="2F0BCA2E"/>
    <w:rsid w:val="2F0CF50C"/>
    <w:rsid w:val="2F17232C"/>
    <w:rsid w:val="2F17FFE8"/>
    <w:rsid w:val="2F191B00"/>
    <w:rsid w:val="2F302A3B"/>
    <w:rsid w:val="2F3D140F"/>
    <w:rsid w:val="2F3EC9A4"/>
    <w:rsid w:val="2F41B556"/>
    <w:rsid w:val="2F5012F6"/>
    <w:rsid w:val="2F6F7F86"/>
    <w:rsid w:val="2F72CDFF"/>
    <w:rsid w:val="2F77EEB4"/>
    <w:rsid w:val="2F7A9D7D"/>
    <w:rsid w:val="2F7E0980"/>
    <w:rsid w:val="2F800010"/>
    <w:rsid w:val="2F8A2BFE"/>
    <w:rsid w:val="2F8BE3C1"/>
    <w:rsid w:val="2F9ED6AF"/>
    <w:rsid w:val="2FAD656D"/>
    <w:rsid w:val="2FAF9AEE"/>
    <w:rsid w:val="2FB07298"/>
    <w:rsid w:val="2FBAD9DA"/>
    <w:rsid w:val="2FC420F9"/>
    <w:rsid w:val="2FC76344"/>
    <w:rsid w:val="2FC7D974"/>
    <w:rsid w:val="2FCE2BB3"/>
    <w:rsid w:val="2FD6E2A2"/>
    <w:rsid w:val="2FDB2B6C"/>
    <w:rsid w:val="2FE00411"/>
    <w:rsid w:val="2FE695B3"/>
    <w:rsid w:val="2FE8D2D9"/>
    <w:rsid w:val="2FF4011A"/>
    <w:rsid w:val="2FF9CE92"/>
    <w:rsid w:val="300AA7BA"/>
    <w:rsid w:val="300BB92D"/>
    <w:rsid w:val="300C4810"/>
    <w:rsid w:val="3021237E"/>
    <w:rsid w:val="30238285"/>
    <w:rsid w:val="3031350E"/>
    <w:rsid w:val="303B977E"/>
    <w:rsid w:val="304323DF"/>
    <w:rsid w:val="304D4500"/>
    <w:rsid w:val="304FA23E"/>
    <w:rsid w:val="3056509A"/>
    <w:rsid w:val="3063FD6B"/>
    <w:rsid w:val="3067EEFC"/>
    <w:rsid w:val="3086834C"/>
    <w:rsid w:val="3094FF76"/>
    <w:rsid w:val="309ABD88"/>
    <w:rsid w:val="30B3B153"/>
    <w:rsid w:val="30B66E89"/>
    <w:rsid w:val="30B7613E"/>
    <w:rsid w:val="30BDFC2C"/>
    <w:rsid w:val="30C747A7"/>
    <w:rsid w:val="30C86A53"/>
    <w:rsid w:val="30D2CD66"/>
    <w:rsid w:val="30D7C4F2"/>
    <w:rsid w:val="30E39208"/>
    <w:rsid w:val="30E5655E"/>
    <w:rsid w:val="30E6B358"/>
    <w:rsid w:val="30F2FD47"/>
    <w:rsid w:val="3100A354"/>
    <w:rsid w:val="31042AA1"/>
    <w:rsid w:val="31106035"/>
    <w:rsid w:val="3120404C"/>
    <w:rsid w:val="312FAF32"/>
    <w:rsid w:val="313B6B5F"/>
    <w:rsid w:val="3151546F"/>
    <w:rsid w:val="3157C9C7"/>
    <w:rsid w:val="3159E4C3"/>
    <w:rsid w:val="31670367"/>
    <w:rsid w:val="3168CC25"/>
    <w:rsid w:val="317EAAA0"/>
    <w:rsid w:val="31873630"/>
    <w:rsid w:val="319A4EA6"/>
    <w:rsid w:val="319BC0E4"/>
    <w:rsid w:val="31A24943"/>
    <w:rsid w:val="31A57041"/>
    <w:rsid w:val="31A9E804"/>
    <w:rsid w:val="31BB9803"/>
    <w:rsid w:val="31C000E0"/>
    <w:rsid w:val="31CB4042"/>
    <w:rsid w:val="31DA7BA0"/>
    <w:rsid w:val="31DD8314"/>
    <w:rsid w:val="31DDC322"/>
    <w:rsid w:val="31E654AF"/>
    <w:rsid w:val="31F665D6"/>
    <w:rsid w:val="31FC250D"/>
    <w:rsid w:val="3214FB48"/>
    <w:rsid w:val="321CA067"/>
    <w:rsid w:val="322E32B6"/>
    <w:rsid w:val="3240978F"/>
    <w:rsid w:val="3251B99B"/>
    <w:rsid w:val="32537537"/>
    <w:rsid w:val="3259ECBF"/>
    <w:rsid w:val="3266F2CE"/>
    <w:rsid w:val="3274A3C7"/>
    <w:rsid w:val="3274C890"/>
    <w:rsid w:val="3278B9F2"/>
    <w:rsid w:val="327D1021"/>
    <w:rsid w:val="327F20F6"/>
    <w:rsid w:val="32AD1F98"/>
    <w:rsid w:val="32D24A12"/>
    <w:rsid w:val="32E4C224"/>
    <w:rsid w:val="32E74397"/>
    <w:rsid w:val="32F05308"/>
    <w:rsid w:val="33077D95"/>
    <w:rsid w:val="332111D2"/>
    <w:rsid w:val="332F7A22"/>
    <w:rsid w:val="3332F0C8"/>
    <w:rsid w:val="33628540"/>
    <w:rsid w:val="33671715"/>
    <w:rsid w:val="336A074C"/>
    <w:rsid w:val="336AB49F"/>
    <w:rsid w:val="336BD151"/>
    <w:rsid w:val="3374D721"/>
    <w:rsid w:val="338C0360"/>
    <w:rsid w:val="33A34540"/>
    <w:rsid w:val="33AEBA6F"/>
    <w:rsid w:val="33B3056E"/>
    <w:rsid w:val="33C1318B"/>
    <w:rsid w:val="33C8E1A5"/>
    <w:rsid w:val="33CFAC76"/>
    <w:rsid w:val="33D92FCE"/>
    <w:rsid w:val="33E76070"/>
    <w:rsid w:val="33F1C4FF"/>
    <w:rsid w:val="33F23899"/>
    <w:rsid w:val="33FAD55C"/>
    <w:rsid w:val="33FFF711"/>
    <w:rsid w:val="34035B4E"/>
    <w:rsid w:val="340EA146"/>
    <w:rsid w:val="340FA056"/>
    <w:rsid w:val="3416C439"/>
    <w:rsid w:val="341D2CD2"/>
    <w:rsid w:val="343F4006"/>
    <w:rsid w:val="344ED320"/>
    <w:rsid w:val="34553760"/>
    <w:rsid w:val="34688E4A"/>
    <w:rsid w:val="3474C78D"/>
    <w:rsid w:val="34953665"/>
    <w:rsid w:val="3499D721"/>
    <w:rsid w:val="34A42DF2"/>
    <w:rsid w:val="34C3BD56"/>
    <w:rsid w:val="34F002D7"/>
    <w:rsid w:val="34F13BEF"/>
    <w:rsid w:val="34F71054"/>
    <w:rsid w:val="3501DE23"/>
    <w:rsid w:val="350F2E7E"/>
    <w:rsid w:val="351187B3"/>
    <w:rsid w:val="35431A87"/>
    <w:rsid w:val="354B1852"/>
    <w:rsid w:val="354E7DAB"/>
    <w:rsid w:val="3566A772"/>
    <w:rsid w:val="3567A03A"/>
    <w:rsid w:val="357676D5"/>
    <w:rsid w:val="35837DB2"/>
    <w:rsid w:val="3586271C"/>
    <w:rsid w:val="358BCD88"/>
    <w:rsid w:val="3597CCB8"/>
    <w:rsid w:val="35AAFE9A"/>
    <w:rsid w:val="35ACB726"/>
    <w:rsid w:val="35B406D2"/>
    <w:rsid w:val="35B8949A"/>
    <w:rsid w:val="35BB4178"/>
    <w:rsid w:val="35C24A85"/>
    <w:rsid w:val="35CB55CD"/>
    <w:rsid w:val="35D56CFE"/>
    <w:rsid w:val="35E534A3"/>
    <w:rsid w:val="35F01CAB"/>
    <w:rsid w:val="35F623FB"/>
    <w:rsid w:val="35FA292D"/>
    <w:rsid w:val="3601E2E2"/>
    <w:rsid w:val="3607E487"/>
    <w:rsid w:val="360984E5"/>
    <w:rsid w:val="361097EE"/>
    <w:rsid w:val="3610F0C9"/>
    <w:rsid w:val="361711C9"/>
    <w:rsid w:val="36181E79"/>
    <w:rsid w:val="362E9040"/>
    <w:rsid w:val="3638CD75"/>
    <w:rsid w:val="363DB8BA"/>
    <w:rsid w:val="363FF5AF"/>
    <w:rsid w:val="3656EB62"/>
    <w:rsid w:val="365D3569"/>
    <w:rsid w:val="3662B36F"/>
    <w:rsid w:val="366A7FF9"/>
    <w:rsid w:val="3674A87B"/>
    <w:rsid w:val="3682A6A6"/>
    <w:rsid w:val="368A0E5B"/>
    <w:rsid w:val="36932FE8"/>
    <w:rsid w:val="36B697BA"/>
    <w:rsid w:val="36C04636"/>
    <w:rsid w:val="36E878B7"/>
    <w:rsid w:val="36EE3E34"/>
    <w:rsid w:val="36FBF3BD"/>
    <w:rsid w:val="36FC9C1D"/>
    <w:rsid w:val="37020B31"/>
    <w:rsid w:val="3704AFAA"/>
    <w:rsid w:val="370E06C2"/>
    <w:rsid w:val="371C3A11"/>
    <w:rsid w:val="371C5BEB"/>
    <w:rsid w:val="3722B2D8"/>
    <w:rsid w:val="37230B4E"/>
    <w:rsid w:val="37392C6E"/>
    <w:rsid w:val="373CA38C"/>
    <w:rsid w:val="375BFB72"/>
    <w:rsid w:val="376A7E26"/>
    <w:rsid w:val="376C2F76"/>
    <w:rsid w:val="376FC61B"/>
    <w:rsid w:val="3772B793"/>
    <w:rsid w:val="3781D436"/>
    <w:rsid w:val="37832606"/>
    <w:rsid w:val="378502F6"/>
    <w:rsid w:val="37909FF8"/>
    <w:rsid w:val="3795605C"/>
    <w:rsid w:val="379BD160"/>
    <w:rsid w:val="37A18955"/>
    <w:rsid w:val="37A45784"/>
    <w:rsid w:val="37ACC5D0"/>
    <w:rsid w:val="37AF6481"/>
    <w:rsid w:val="37C8FB68"/>
    <w:rsid w:val="37C9FD7C"/>
    <w:rsid w:val="37CF6608"/>
    <w:rsid w:val="37DD9BDE"/>
    <w:rsid w:val="37E0FC96"/>
    <w:rsid w:val="37E1A5D9"/>
    <w:rsid w:val="37F500CF"/>
    <w:rsid w:val="37F67741"/>
    <w:rsid w:val="3804942B"/>
    <w:rsid w:val="38142B4D"/>
    <w:rsid w:val="38186F30"/>
    <w:rsid w:val="3834C26A"/>
    <w:rsid w:val="3838EB76"/>
    <w:rsid w:val="383C662C"/>
    <w:rsid w:val="383D786F"/>
    <w:rsid w:val="38463F4D"/>
    <w:rsid w:val="384ACB15"/>
    <w:rsid w:val="3852D55B"/>
    <w:rsid w:val="38554133"/>
    <w:rsid w:val="385B6260"/>
    <w:rsid w:val="3862D10D"/>
    <w:rsid w:val="3874A2E6"/>
    <w:rsid w:val="387CEBB4"/>
    <w:rsid w:val="388142EB"/>
    <w:rsid w:val="389A8AE1"/>
    <w:rsid w:val="38A2776C"/>
    <w:rsid w:val="38A4CDC2"/>
    <w:rsid w:val="38B3D429"/>
    <w:rsid w:val="38C148D4"/>
    <w:rsid w:val="38CBEF34"/>
    <w:rsid w:val="38CD1FB5"/>
    <w:rsid w:val="38CD5E6F"/>
    <w:rsid w:val="38D0FC4D"/>
    <w:rsid w:val="38DC689C"/>
    <w:rsid w:val="38DCE449"/>
    <w:rsid w:val="38EA38EF"/>
    <w:rsid w:val="38ED7363"/>
    <w:rsid w:val="38F2D1D2"/>
    <w:rsid w:val="38F54ADA"/>
    <w:rsid w:val="390E7CAB"/>
    <w:rsid w:val="39285C21"/>
    <w:rsid w:val="3937950B"/>
    <w:rsid w:val="3940E6F4"/>
    <w:rsid w:val="394E1B17"/>
    <w:rsid w:val="39524454"/>
    <w:rsid w:val="395D18F7"/>
    <w:rsid w:val="39606B83"/>
    <w:rsid w:val="396DCCBB"/>
    <w:rsid w:val="39799BDD"/>
    <w:rsid w:val="397B877A"/>
    <w:rsid w:val="397D0DA7"/>
    <w:rsid w:val="398549AC"/>
    <w:rsid w:val="39ABB0E2"/>
    <w:rsid w:val="39B07756"/>
    <w:rsid w:val="39B6B80C"/>
    <w:rsid w:val="39C0F576"/>
    <w:rsid w:val="39C4D2A6"/>
    <w:rsid w:val="39C560F2"/>
    <w:rsid w:val="39CE3E46"/>
    <w:rsid w:val="39CE536B"/>
    <w:rsid w:val="39CF93C3"/>
    <w:rsid w:val="39D1C065"/>
    <w:rsid w:val="39E036AF"/>
    <w:rsid w:val="39E6F09B"/>
    <w:rsid w:val="39E7F565"/>
    <w:rsid w:val="39F5A546"/>
    <w:rsid w:val="3A02CAA1"/>
    <w:rsid w:val="3A03C90F"/>
    <w:rsid w:val="3A19B270"/>
    <w:rsid w:val="3A403CB9"/>
    <w:rsid w:val="3A41529A"/>
    <w:rsid w:val="3A43D8FC"/>
    <w:rsid w:val="3A465E44"/>
    <w:rsid w:val="3A57C97B"/>
    <w:rsid w:val="3A70E715"/>
    <w:rsid w:val="3A828C51"/>
    <w:rsid w:val="3AA0C3D0"/>
    <w:rsid w:val="3AA6FAD7"/>
    <w:rsid w:val="3AAA9BB6"/>
    <w:rsid w:val="3AB6BE6B"/>
    <w:rsid w:val="3AB7D961"/>
    <w:rsid w:val="3ABF0F3C"/>
    <w:rsid w:val="3ADD9491"/>
    <w:rsid w:val="3AE15585"/>
    <w:rsid w:val="3AE1912C"/>
    <w:rsid w:val="3AE2208F"/>
    <w:rsid w:val="3AEA509C"/>
    <w:rsid w:val="3AEB2561"/>
    <w:rsid w:val="3AF0097C"/>
    <w:rsid w:val="3B081100"/>
    <w:rsid w:val="3B10BB2B"/>
    <w:rsid w:val="3B1BD4D1"/>
    <w:rsid w:val="3B2BA4E6"/>
    <w:rsid w:val="3B428161"/>
    <w:rsid w:val="3B42D995"/>
    <w:rsid w:val="3B445651"/>
    <w:rsid w:val="3B45C713"/>
    <w:rsid w:val="3B48F44F"/>
    <w:rsid w:val="3B5748FA"/>
    <w:rsid w:val="3B5E4740"/>
    <w:rsid w:val="3B62303B"/>
    <w:rsid w:val="3B6C56D4"/>
    <w:rsid w:val="3B70D2A3"/>
    <w:rsid w:val="3B76BDD7"/>
    <w:rsid w:val="3B960802"/>
    <w:rsid w:val="3B992A19"/>
    <w:rsid w:val="3BB142F6"/>
    <w:rsid w:val="3BB82A46"/>
    <w:rsid w:val="3BCF2910"/>
    <w:rsid w:val="3BDA1DC4"/>
    <w:rsid w:val="3BF09F5C"/>
    <w:rsid w:val="3BF21EBA"/>
    <w:rsid w:val="3BF3811A"/>
    <w:rsid w:val="3BF642E2"/>
    <w:rsid w:val="3BFDFC40"/>
    <w:rsid w:val="3C008969"/>
    <w:rsid w:val="3C0508A5"/>
    <w:rsid w:val="3C0AD138"/>
    <w:rsid w:val="3C11D7DC"/>
    <w:rsid w:val="3C23125B"/>
    <w:rsid w:val="3C26F7A8"/>
    <w:rsid w:val="3C404D0E"/>
    <w:rsid w:val="3C437AD3"/>
    <w:rsid w:val="3C456CE2"/>
    <w:rsid w:val="3C6710D4"/>
    <w:rsid w:val="3C720689"/>
    <w:rsid w:val="3C760E15"/>
    <w:rsid w:val="3C7AF979"/>
    <w:rsid w:val="3C95B7EF"/>
    <w:rsid w:val="3CAF6845"/>
    <w:rsid w:val="3CB15B83"/>
    <w:rsid w:val="3CC77547"/>
    <w:rsid w:val="3CCFE928"/>
    <w:rsid w:val="3CD39215"/>
    <w:rsid w:val="3CDA8C1B"/>
    <w:rsid w:val="3CDF815C"/>
    <w:rsid w:val="3CDF82E0"/>
    <w:rsid w:val="3CF2CA53"/>
    <w:rsid w:val="3CF6A448"/>
    <w:rsid w:val="3CF72584"/>
    <w:rsid w:val="3D1A4354"/>
    <w:rsid w:val="3D1F14FF"/>
    <w:rsid w:val="3D27049C"/>
    <w:rsid w:val="3D2CD6F9"/>
    <w:rsid w:val="3D3221F8"/>
    <w:rsid w:val="3D51761E"/>
    <w:rsid w:val="3D616055"/>
    <w:rsid w:val="3D70BAEF"/>
    <w:rsid w:val="3D74783E"/>
    <w:rsid w:val="3D77F22C"/>
    <w:rsid w:val="3D7C87D2"/>
    <w:rsid w:val="3D86E43B"/>
    <w:rsid w:val="3D8CF447"/>
    <w:rsid w:val="3D945C76"/>
    <w:rsid w:val="3D98562C"/>
    <w:rsid w:val="3D9E3BAB"/>
    <w:rsid w:val="3DA057B1"/>
    <w:rsid w:val="3DA1E0A8"/>
    <w:rsid w:val="3DA98D89"/>
    <w:rsid w:val="3DB60854"/>
    <w:rsid w:val="3DD093C8"/>
    <w:rsid w:val="3DD6C706"/>
    <w:rsid w:val="3DD96B72"/>
    <w:rsid w:val="3DDCC714"/>
    <w:rsid w:val="3DDEDC95"/>
    <w:rsid w:val="3DDFBC51"/>
    <w:rsid w:val="3DE3A265"/>
    <w:rsid w:val="3DEE2764"/>
    <w:rsid w:val="3DFB2B64"/>
    <w:rsid w:val="3E02C105"/>
    <w:rsid w:val="3E1F2A91"/>
    <w:rsid w:val="3E1F3DB2"/>
    <w:rsid w:val="3E2A6A40"/>
    <w:rsid w:val="3E2CE3DF"/>
    <w:rsid w:val="3E2D56C5"/>
    <w:rsid w:val="3E3094E9"/>
    <w:rsid w:val="3E339AEB"/>
    <w:rsid w:val="3E387D52"/>
    <w:rsid w:val="3E39BAF9"/>
    <w:rsid w:val="3E416B05"/>
    <w:rsid w:val="3E47DB0C"/>
    <w:rsid w:val="3E5A4D26"/>
    <w:rsid w:val="3E60D2DB"/>
    <w:rsid w:val="3E7A8855"/>
    <w:rsid w:val="3E8D27D3"/>
    <w:rsid w:val="3EA76052"/>
    <w:rsid w:val="3EA961DE"/>
    <w:rsid w:val="3EC1033E"/>
    <w:rsid w:val="3ED2B343"/>
    <w:rsid w:val="3ED807E6"/>
    <w:rsid w:val="3EDC0876"/>
    <w:rsid w:val="3EDE25A1"/>
    <w:rsid w:val="3EE9F096"/>
    <w:rsid w:val="3EEECBD5"/>
    <w:rsid w:val="3EF0DB73"/>
    <w:rsid w:val="3EF10C78"/>
    <w:rsid w:val="3F048092"/>
    <w:rsid w:val="3F121EB3"/>
    <w:rsid w:val="3F176D4D"/>
    <w:rsid w:val="3F1F80A1"/>
    <w:rsid w:val="3F286200"/>
    <w:rsid w:val="3F30FAEF"/>
    <w:rsid w:val="3F349024"/>
    <w:rsid w:val="3F50D790"/>
    <w:rsid w:val="3F57D176"/>
    <w:rsid w:val="3F65E551"/>
    <w:rsid w:val="3F7A85E5"/>
    <w:rsid w:val="3F85E796"/>
    <w:rsid w:val="3F8B0232"/>
    <w:rsid w:val="3F9CD0FE"/>
    <w:rsid w:val="3F9F2EA4"/>
    <w:rsid w:val="3FB794A6"/>
    <w:rsid w:val="3FB91AB9"/>
    <w:rsid w:val="3FBA4423"/>
    <w:rsid w:val="3FC3FA90"/>
    <w:rsid w:val="3FC5914D"/>
    <w:rsid w:val="3FCAF5CC"/>
    <w:rsid w:val="3FD2B39D"/>
    <w:rsid w:val="3FDC572E"/>
    <w:rsid w:val="3FDE4ACF"/>
    <w:rsid w:val="3FE5B52E"/>
    <w:rsid w:val="400A5627"/>
    <w:rsid w:val="40192347"/>
    <w:rsid w:val="4030095F"/>
    <w:rsid w:val="4036984E"/>
    <w:rsid w:val="403FDA46"/>
    <w:rsid w:val="404093C2"/>
    <w:rsid w:val="4042DE08"/>
    <w:rsid w:val="4047728D"/>
    <w:rsid w:val="404A0145"/>
    <w:rsid w:val="404B866F"/>
    <w:rsid w:val="405536BC"/>
    <w:rsid w:val="406095D2"/>
    <w:rsid w:val="4070AF53"/>
    <w:rsid w:val="4075E134"/>
    <w:rsid w:val="408888EC"/>
    <w:rsid w:val="4091029A"/>
    <w:rsid w:val="409502AC"/>
    <w:rsid w:val="409872D3"/>
    <w:rsid w:val="40A598BB"/>
    <w:rsid w:val="40A5FC8D"/>
    <w:rsid w:val="40AA6F60"/>
    <w:rsid w:val="40ADA4A2"/>
    <w:rsid w:val="40D37FE6"/>
    <w:rsid w:val="40E9DD9C"/>
    <w:rsid w:val="40EAA88D"/>
    <w:rsid w:val="40F11381"/>
    <w:rsid w:val="410398B1"/>
    <w:rsid w:val="4112B663"/>
    <w:rsid w:val="411EAE4D"/>
    <w:rsid w:val="411F9BB6"/>
    <w:rsid w:val="412F6598"/>
    <w:rsid w:val="413539BA"/>
    <w:rsid w:val="413FC0DD"/>
    <w:rsid w:val="4149AD93"/>
    <w:rsid w:val="4162AF37"/>
    <w:rsid w:val="41659DF5"/>
    <w:rsid w:val="4168A071"/>
    <w:rsid w:val="416A2469"/>
    <w:rsid w:val="416F250B"/>
    <w:rsid w:val="417CF317"/>
    <w:rsid w:val="4187DA48"/>
    <w:rsid w:val="418A2B38"/>
    <w:rsid w:val="418EDDC0"/>
    <w:rsid w:val="4190945E"/>
    <w:rsid w:val="4197D352"/>
    <w:rsid w:val="419857C6"/>
    <w:rsid w:val="419B2868"/>
    <w:rsid w:val="41A78376"/>
    <w:rsid w:val="41A89D7C"/>
    <w:rsid w:val="41AA545F"/>
    <w:rsid w:val="41B101CB"/>
    <w:rsid w:val="41B5D591"/>
    <w:rsid w:val="41C10EAC"/>
    <w:rsid w:val="41C42EE1"/>
    <w:rsid w:val="41C8F697"/>
    <w:rsid w:val="41CFDA18"/>
    <w:rsid w:val="41D7C49C"/>
    <w:rsid w:val="41DC1742"/>
    <w:rsid w:val="41FFD82D"/>
    <w:rsid w:val="4210130D"/>
    <w:rsid w:val="4212556B"/>
    <w:rsid w:val="4215DDD7"/>
    <w:rsid w:val="422F87D0"/>
    <w:rsid w:val="42333116"/>
    <w:rsid w:val="4248E71D"/>
    <w:rsid w:val="424B9AC1"/>
    <w:rsid w:val="425AE814"/>
    <w:rsid w:val="426853ED"/>
    <w:rsid w:val="426DC50A"/>
    <w:rsid w:val="4275203F"/>
    <w:rsid w:val="4287981A"/>
    <w:rsid w:val="42981285"/>
    <w:rsid w:val="429B5291"/>
    <w:rsid w:val="429BA7AB"/>
    <w:rsid w:val="42A0411B"/>
    <w:rsid w:val="42A1DEE0"/>
    <w:rsid w:val="42CA40ED"/>
    <w:rsid w:val="42CDD30B"/>
    <w:rsid w:val="42D49C0C"/>
    <w:rsid w:val="42E2B773"/>
    <w:rsid w:val="42E303E7"/>
    <w:rsid w:val="42E67273"/>
    <w:rsid w:val="42E87F17"/>
    <w:rsid w:val="42E942E2"/>
    <w:rsid w:val="42EA2116"/>
    <w:rsid w:val="42EE9C80"/>
    <w:rsid w:val="42EF9341"/>
    <w:rsid w:val="42FABEEF"/>
    <w:rsid w:val="43130647"/>
    <w:rsid w:val="43165AB9"/>
    <w:rsid w:val="432A5976"/>
    <w:rsid w:val="4332DC35"/>
    <w:rsid w:val="43345BB8"/>
    <w:rsid w:val="433753A9"/>
    <w:rsid w:val="434DEFC9"/>
    <w:rsid w:val="4350882F"/>
    <w:rsid w:val="435456AD"/>
    <w:rsid w:val="4365F845"/>
    <w:rsid w:val="436A785F"/>
    <w:rsid w:val="436AB633"/>
    <w:rsid w:val="437ABA6E"/>
    <w:rsid w:val="437EC928"/>
    <w:rsid w:val="4399ED63"/>
    <w:rsid w:val="439DE189"/>
    <w:rsid w:val="43A4E844"/>
    <w:rsid w:val="43AA5CC8"/>
    <w:rsid w:val="43B5C01A"/>
    <w:rsid w:val="43B61C9F"/>
    <w:rsid w:val="43BAAD63"/>
    <w:rsid w:val="43CEEF05"/>
    <w:rsid w:val="43DE9110"/>
    <w:rsid w:val="43E43EF2"/>
    <w:rsid w:val="43F89EC4"/>
    <w:rsid w:val="4412ADB5"/>
    <w:rsid w:val="4418D585"/>
    <w:rsid w:val="4422F109"/>
    <w:rsid w:val="442B22E5"/>
    <w:rsid w:val="44427437"/>
    <w:rsid w:val="444971BE"/>
    <w:rsid w:val="44600956"/>
    <w:rsid w:val="4462CD73"/>
    <w:rsid w:val="44698D7F"/>
    <w:rsid w:val="44815CFE"/>
    <w:rsid w:val="44844F85"/>
    <w:rsid w:val="4484F670"/>
    <w:rsid w:val="448FBB4C"/>
    <w:rsid w:val="44A39F30"/>
    <w:rsid w:val="44AD1A6D"/>
    <w:rsid w:val="44F0F4B6"/>
    <w:rsid w:val="44F5DD26"/>
    <w:rsid w:val="44F99EBD"/>
    <w:rsid w:val="44FE2F34"/>
    <w:rsid w:val="450055C5"/>
    <w:rsid w:val="4500E90E"/>
    <w:rsid w:val="450AF5F6"/>
    <w:rsid w:val="45198FBF"/>
    <w:rsid w:val="451CA287"/>
    <w:rsid w:val="4532863A"/>
    <w:rsid w:val="45335294"/>
    <w:rsid w:val="45393258"/>
    <w:rsid w:val="4546A843"/>
    <w:rsid w:val="4547D608"/>
    <w:rsid w:val="455578B5"/>
    <w:rsid w:val="4565DD29"/>
    <w:rsid w:val="4567115A"/>
    <w:rsid w:val="456A4899"/>
    <w:rsid w:val="458304C8"/>
    <w:rsid w:val="4585EE7B"/>
    <w:rsid w:val="458E4575"/>
    <w:rsid w:val="45908E44"/>
    <w:rsid w:val="459C618B"/>
    <w:rsid w:val="45A11CEA"/>
    <w:rsid w:val="45A80526"/>
    <w:rsid w:val="45B5EEFD"/>
    <w:rsid w:val="45B954F4"/>
    <w:rsid w:val="45C5693C"/>
    <w:rsid w:val="45DD2445"/>
    <w:rsid w:val="45ED4B74"/>
    <w:rsid w:val="45EE9242"/>
    <w:rsid w:val="45F52F80"/>
    <w:rsid w:val="46001B04"/>
    <w:rsid w:val="4601E740"/>
    <w:rsid w:val="4602468A"/>
    <w:rsid w:val="4602DCD1"/>
    <w:rsid w:val="46042E2E"/>
    <w:rsid w:val="460B4A3D"/>
    <w:rsid w:val="460DD586"/>
    <w:rsid w:val="46202127"/>
    <w:rsid w:val="4626806D"/>
    <w:rsid w:val="462B2848"/>
    <w:rsid w:val="462CD69D"/>
    <w:rsid w:val="463ABA09"/>
    <w:rsid w:val="463C0C57"/>
    <w:rsid w:val="463C5B05"/>
    <w:rsid w:val="463CC553"/>
    <w:rsid w:val="463E02F7"/>
    <w:rsid w:val="46454719"/>
    <w:rsid w:val="46488C46"/>
    <w:rsid w:val="464D2E8C"/>
    <w:rsid w:val="4652D7A7"/>
    <w:rsid w:val="46574A8C"/>
    <w:rsid w:val="465B0D4E"/>
    <w:rsid w:val="4663514D"/>
    <w:rsid w:val="466BC21E"/>
    <w:rsid w:val="4673F53E"/>
    <w:rsid w:val="467692FC"/>
    <w:rsid w:val="4677AD8E"/>
    <w:rsid w:val="4677B722"/>
    <w:rsid w:val="467B90AC"/>
    <w:rsid w:val="468FDD6A"/>
    <w:rsid w:val="46AD172D"/>
    <w:rsid w:val="46BEC084"/>
    <w:rsid w:val="46CCD867"/>
    <w:rsid w:val="46DC498E"/>
    <w:rsid w:val="46DC699E"/>
    <w:rsid w:val="46DCECD0"/>
    <w:rsid w:val="46DF8067"/>
    <w:rsid w:val="46E6D537"/>
    <w:rsid w:val="46E8D1D7"/>
    <w:rsid w:val="46FFF370"/>
    <w:rsid w:val="47014447"/>
    <w:rsid w:val="470B3737"/>
    <w:rsid w:val="470D5478"/>
    <w:rsid w:val="472C11EC"/>
    <w:rsid w:val="4732539B"/>
    <w:rsid w:val="473D8CA3"/>
    <w:rsid w:val="47638F9B"/>
    <w:rsid w:val="47651A24"/>
    <w:rsid w:val="476F2772"/>
    <w:rsid w:val="47744995"/>
    <w:rsid w:val="477D95EA"/>
    <w:rsid w:val="47885FCC"/>
    <w:rsid w:val="4796E2E2"/>
    <w:rsid w:val="47A5F822"/>
    <w:rsid w:val="47BE5908"/>
    <w:rsid w:val="47C5557C"/>
    <w:rsid w:val="47C5B1B0"/>
    <w:rsid w:val="47D962C9"/>
    <w:rsid w:val="47D9A1C3"/>
    <w:rsid w:val="47E16685"/>
    <w:rsid w:val="47E4A80B"/>
    <w:rsid w:val="47E64506"/>
    <w:rsid w:val="47F24E6B"/>
    <w:rsid w:val="47F9CD31"/>
    <w:rsid w:val="47FD2814"/>
    <w:rsid w:val="4809DA47"/>
    <w:rsid w:val="4815230C"/>
    <w:rsid w:val="4820B107"/>
    <w:rsid w:val="4822E711"/>
    <w:rsid w:val="48429B39"/>
    <w:rsid w:val="4855624A"/>
    <w:rsid w:val="485B482A"/>
    <w:rsid w:val="486BA832"/>
    <w:rsid w:val="4882EB39"/>
    <w:rsid w:val="4885B0D9"/>
    <w:rsid w:val="489138C4"/>
    <w:rsid w:val="489D07B8"/>
    <w:rsid w:val="48A391AA"/>
    <w:rsid w:val="48A9AD3C"/>
    <w:rsid w:val="48AF153F"/>
    <w:rsid w:val="48BE8A7B"/>
    <w:rsid w:val="48DC9CAD"/>
    <w:rsid w:val="48DDE0CA"/>
    <w:rsid w:val="48E4840F"/>
    <w:rsid w:val="48F010D6"/>
    <w:rsid w:val="48F2D27B"/>
    <w:rsid w:val="48F681B6"/>
    <w:rsid w:val="48F93D55"/>
    <w:rsid w:val="48FBBFBC"/>
    <w:rsid w:val="4906C3A4"/>
    <w:rsid w:val="490A337B"/>
    <w:rsid w:val="490C6355"/>
    <w:rsid w:val="49244AA2"/>
    <w:rsid w:val="49256A6A"/>
    <w:rsid w:val="49505B48"/>
    <w:rsid w:val="495165CA"/>
    <w:rsid w:val="495C23E7"/>
    <w:rsid w:val="496FA61A"/>
    <w:rsid w:val="4979BC38"/>
    <w:rsid w:val="49807429"/>
    <w:rsid w:val="4990D67A"/>
    <w:rsid w:val="49924AAB"/>
    <w:rsid w:val="499DF8F5"/>
    <w:rsid w:val="49A3E54C"/>
    <w:rsid w:val="49AA4438"/>
    <w:rsid w:val="49AD88A2"/>
    <w:rsid w:val="49AEE8D4"/>
    <w:rsid w:val="49B3184E"/>
    <w:rsid w:val="49B75F3E"/>
    <w:rsid w:val="49BD10A2"/>
    <w:rsid w:val="49C13BE6"/>
    <w:rsid w:val="49C3519A"/>
    <w:rsid w:val="49DAF591"/>
    <w:rsid w:val="49DB66D5"/>
    <w:rsid w:val="49F7B51A"/>
    <w:rsid w:val="4A063DE6"/>
    <w:rsid w:val="4A07F704"/>
    <w:rsid w:val="4A18B9F6"/>
    <w:rsid w:val="4A1C0122"/>
    <w:rsid w:val="4A1F61DD"/>
    <w:rsid w:val="4A1FB03C"/>
    <w:rsid w:val="4A214EDD"/>
    <w:rsid w:val="4A2659FA"/>
    <w:rsid w:val="4A2671F7"/>
    <w:rsid w:val="4A296117"/>
    <w:rsid w:val="4A2C1EF2"/>
    <w:rsid w:val="4A301CEB"/>
    <w:rsid w:val="4A33476E"/>
    <w:rsid w:val="4A338B86"/>
    <w:rsid w:val="4A449335"/>
    <w:rsid w:val="4A499989"/>
    <w:rsid w:val="4A4DF6F2"/>
    <w:rsid w:val="4A5B118E"/>
    <w:rsid w:val="4A8A7886"/>
    <w:rsid w:val="4A8F65C1"/>
    <w:rsid w:val="4A96713F"/>
    <w:rsid w:val="4AA24322"/>
    <w:rsid w:val="4ABC18D1"/>
    <w:rsid w:val="4ABC34C2"/>
    <w:rsid w:val="4ABFDD76"/>
    <w:rsid w:val="4AC402CE"/>
    <w:rsid w:val="4ACF075B"/>
    <w:rsid w:val="4AE361F2"/>
    <w:rsid w:val="4AF0C9E6"/>
    <w:rsid w:val="4B017F84"/>
    <w:rsid w:val="4B1BA645"/>
    <w:rsid w:val="4B249887"/>
    <w:rsid w:val="4B31E381"/>
    <w:rsid w:val="4B38DFDD"/>
    <w:rsid w:val="4B3C63DB"/>
    <w:rsid w:val="4B453A41"/>
    <w:rsid w:val="4B53C755"/>
    <w:rsid w:val="4B5C3091"/>
    <w:rsid w:val="4B5F0F51"/>
    <w:rsid w:val="4B642E52"/>
    <w:rsid w:val="4B653B78"/>
    <w:rsid w:val="4B700E14"/>
    <w:rsid w:val="4B85857B"/>
    <w:rsid w:val="4B900B4F"/>
    <w:rsid w:val="4B967864"/>
    <w:rsid w:val="4B9EE467"/>
    <w:rsid w:val="4BA178D4"/>
    <w:rsid w:val="4BA31DDA"/>
    <w:rsid w:val="4BA40B6B"/>
    <w:rsid w:val="4BA8701C"/>
    <w:rsid w:val="4BAC3E88"/>
    <w:rsid w:val="4BB45771"/>
    <w:rsid w:val="4BB54EDA"/>
    <w:rsid w:val="4BC4A0AC"/>
    <w:rsid w:val="4BCC915B"/>
    <w:rsid w:val="4BD25315"/>
    <w:rsid w:val="4BD5E4B6"/>
    <w:rsid w:val="4BD829B9"/>
    <w:rsid w:val="4BDF6CA5"/>
    <w:rsid w:val="4BE15770"/>
    <w:rsid w:val="4BE42223"/>
    <w:rsid w:val="4BE9FA2D"/>
    <w:rsid w:val="4BFD97FA"/>
    <w:rsid w:val="4C010EC9"/>
    <w:rsid w:val="4C0F279D"/>
    <w:rsid w:val="4C1246C3"/>
    <w:rsid w:val="4C220F66"/>
    <w:rsid w:val="4C3974D4"/>
    <w:rsid w:val="4C4A521A"/>
    <w:rsid w:val="4C4D3684"/>
    <w:rsid w:val="4C5EEBC2"/>
    <w:rsid w:val="4C7BE6E5"/>
    <w:rsid w:val="4C8D87EE"/>
    <w:rsid w:val="4C8FFB52"/>
    <w:rsid w:val="4C969E2F"/>
    <w:rsid w:val="4CA6BC4A"/>
    <w:rsid w:val="4CABA1BB"/>
    <w:rsid w:val="4CB8047E"/>
    <w:rsid w:val="4CB9A5F7"/>
    <w:rsid w:val="4CC1CE7E"/>
    <w:rsid w:val="4CCB5A5D"/>
    <w:rsid w:val="4CED0642"/>
    <w:rsid w:val="4D0144D1"/>
    <w:rsid w:val="4D044472"/>
    <w:rsid w:val="4D1D0228"/>
    <w:rsid w:val="4D2076A0"/>
    <w:rsid w:val="4D264B28"/>
    <w:rsid w:val="4D325A5D"/>
    <w:rsid w:val="4D3AB4C8"/>
    <w:rsid w:val="4D5B04CA"/>
    <w:rsid w:val="4D5B7C7D"/>
    <w:rsid w:val="4D5E1249"/>
    <w:rsid w:val="4D6D5776"/>
    <w:rsid w:val="4D700CA9"/>
    <w:rsid w:val="4D7CB3E4"/>
    <w:rsid w:val="4D84F746"/>
    <w:rsid w:val="4D94DCD3"/>
    <w:rsid w:val="4D9B0D72"/>
    <w:rsid w:val="4D9EB848"/>
    <w:rsid w:val="4DBB9440"/>
    <w:rsid w:val="4DBE5E70"/>
    <w:rsid w:val="4DC7CF49"/>
    <w:rsid w:val="4DD5813F"/>
    <w:rsid w:val="4DEB3BE4"/>
    <w:rsid w:val="4DF03978"/>
    <w:rsid w:val="4DF0A851"/>
    <w:rsid w:val="4DF44406"/>
    <w:rsid w:val="4DF459A2"/>
    <w:rsid w:val="4DF6236D"/>
    <w:rsid w:val="4DF89A65"/>
    <w:rsid w:val="4DFE7689"/>
    <w:rsid w:val="4E0FC6B1"/>
    <w:rsid w:val="4E13582A"/>
    <w:rsid w:val="4E1BC859"/>
    <w:rsid w:val="4E211985"/>
    <w:rsid w:val="4E2B89D9"/>
    <w:rsid w:val="4E3D7F2F"/>
    <w:rsid w:val="4E3DFD2E"/>
    <w:rsid w:val="4E42CAD0"/>
    <w:rsid w:val="4E46AEB3"/>
    <w:rsid w:val="4E48DECD"/>
    <w:rsid w:val="4E4A76DE"/>
    <w:rsid w:val="4E4BAD2C"/>
    <w:rsid w:val="4E4CE558"/>
    <w:rsid w:val="4E5E7507"/>
    <w:rsid w:val="4E6AD4EE"/>
    <w:rsid w:val="4E6EBC4B"/>
    <w:rsid w:val="4E7A9349"/>
    <w:rsid w:val="4E7D3123"/>
    <w:rsid w:val="4E8AA0F9"/>
    <w:rsid w:val="4E8B1156"/>
    <w:rsid w:val="4E8B64E7"/>
    <w:rsid w:val="4E8CB523"/>
    <w:rsid w:val="4E9610EB"/>
    <w:rsid w:val="4E969B17"/>
    <w:rsid w:val="4E9AB707"/>
    <w:rsid w:val="4EA4DAA0"/>
    <w:rsid w:val="4EB0384A"/>
    <w:rsid w:val="4EC34422"/>
    <w:rsid w:val="4ECCD88B"/>
    <w:rsid w:val="4EDFDDBA"/>
    <w:rsid w:val="4EEA1480"/>
    <w:rsid w:val="4EF04B79"/>
    <w:rsid w:val="4F0461F7"/>
    <w:rsid w:val="4F08DA4D"/>
    <w:rsid w:val="4F0A1988"/>
    <w:rsid w:val="4F1681FB"/>
    <w:rsid w:val="4F1B8B4F"/>
    <w:rsid w:val="4F1D640C"/>
    <w:rsid w:val="4F2826FF"/>
    <w:rsid w:val="4F2E92B0"/>
    <w:rsid w:val="4F365DD4"/>
    <w:rsid w:val="4F3B57EC"/>
    <w:rsid w:val="4F469E04"/>
    <w:rsid w:val="4F80D450"/>
    <w:rsid w:val="4F814802"/>
    <w:rsid w:val="4F871BBA"/>
    <w:rsid w:val="4F8F069A"/>
    <w:rsid w:val="4F91BBFD"/>
    <w:rsid w:val="4F9D6394"/>
    <w:rsid w:val="4FA1AF6F"/>
    <w:rsid w:val="4FB31679"/>
    <w:rsid w:val="4FB4D596"/>
    <w:rsid w:val="4FBE0156"/>
    <w:rsid w:val="4FCDB3C9"/>
    <w:rsid w:val="4FD24177"/>
    <w:rsid w:val="4FDB2808"/>
    <w:rsid w:val="4FDBB6DF"/>
    <w:rsid w:val="4FDD7A8C"/>
    <w:rsid w:val="4FE2D148"/>
    <w:rsid w:val="4FF10EE3"/>
    <w:rsid w:val="4FFF3742"/>
    <w:rsid w:val="5002B4C5"/>
    <w:rsid w:val="501BB062"/>
    <w:rsid w:val="501CE3FF"/>
    <w:rsid w:val="502238F8"/>
    <w:rsid w:val="502517B8"/>
    <w:rsid w:val="5036F672"/>
    <w:rsid w:val="5046D4B1"/>
    <w:rsid w:val="5050EE95"/>
    <w:rsid w:val="50667EBC"/>
    <w:rsid w:val="50674501"/>
    <w:rsid w:val="5067DD02"/>
    <w:rsid w:val="5070117F"/>
    <w:rsid w:val="507CD102"/>
    <w:rsid w:val="50839398"/>
    <w:rsid w:val="50921571"/>
    <w:rsid w:val="50922D38"/>
    <w:rsid w:val="509389B1"/>
    <w:rsid w:val="50A61B26"/>
    <w:rsid w:val="50AA70CB"/>
    <w:rsid w:val="50B188DB"/>
    <w:rsid w:val="50BF5459"/>
    <w:rsid w:val="50C8C48B"/>
    <w:rsid w:val="50CC5117"/>
    <w:rsid w:val="50CDBDE5"/>
    <w:rsid w:val="50CF49DC"/>
    <w:rsid w:val="50D017AD"/>
    <w:rsid w:val="50E91584"/>
    <w:rsid w:val="50ED233E"/>
    <w:rsid w:val="50ED619C"/>
    <w:rsid w:val="50EEE45F"/>
    <w:rsid w:val="50EFCC2C"/>
    <w:rsid w:val="50F0768B"/>
    <w:rsid w:val="50F50829"/>
    <w:rsid w:val="51063FCD"/>
    <w:rsid w:val="510A3031"/>
    <w:rsid w:val="5114A2F6"/>
    <w:rsid w:val="511817C8"/>
    <w:rsid w:val="511DFC30"/>
    <w:rsid w:val="512073C0"/>
    <w:rsid w:val="512ADD19"/>
    <w:rsid w:val="5135A962"/>
    <w:rsid w:val="513F559C"/>
    <w:rsid w:val="5146D8A9"/>
    <w:rsid w:val="5147A6B7"/>
    <w:rsid w:val="514EDDCD"/>
    <w:rsid w:val="5159B65F"/>
    <w:rsid w:val="515EC6B0"/>
    <w:rsid w:val="518848CB"/>
    <w:rsid w:val="51A31454"/>
    <w:rsid w:val="51AC68CD"/>
    <w:rsid w:val="51BF1E94"/>
    <w:rsid w:val="51CD9F55"/>
    <w:rsid w:val="51D7CB3A"/>
    <w:rsid w:val="51FA3A9B"/>
    <w:rsid w:val="51FC01A3"/>
    <w:rsid w:val="51FD686D"/>
    <w:rsid w:val="520412AA"/>
    <w:rsid w:val="5208F313"/>
    <w:rsid w:val="520C6968"/>
    <w:rsid w:val="520F5DBD"/>
    <w:rsid w:val="52268C14"/>
    <w:rsid w:val="522C4846"/>
    <w:rsid w:val="522D19A4"/>
    <w:rsid w:val="5235DFB4"/>
    <w:rsid w:val="52463404"/>
    <w:rsid w:val="52499EC8"/>
    <w:rsid w:val="5258CC84"/>
    <w:rsid w:val="525AFB46"/>
    <w:rsid w:val="5266FB93"/>
    <w:rsid w:val="526855E4"/>
    <w:rsid w:val="5273D5EC"/>
    <w:rsid w:val="52849CB2"/>
    <w:rsid w:val="528D7AC6"/>
    <w:rsid w:val="52915445"/>
    <w:rsid w:val="52974051"/>
    <w:rsid w:val="52988892"/>
    <w:rsid w:val="52A298BD"/>
    <w:rsid w:val="52A573AC"/>
    <w:rsid w:val="52AA12F2"/>
    <w:rsid w:val="52ACC705"/>
    <w:rsid w:val="52AE5614"/>
    <w:rsid w:val="52B2FE1E"/>
    <w:rsid w:val="52B63466"/>
    <w:rsid w:val="52CFBB45"/>
    <w:rsid w:val="52FB4E14"/>
    <w:rsid w:val="52FC68D3"/>
    <w:rsid w:val="5303FB56"/>
    <w:rsid w:val="5306100C"/>
    <w:rsid w:val="5307FB0D"/>
    <w:rsid w:val="530B4958"/>
    <w:rsid w:val="53178396"/>
    <w:rsid w:val="531B8B18"/>
    <w:rsid w:val="5322A054"/>
    <w:rsid w:val="53392CF1"/>
    <w:rsid w:val="534A1C5C"/>
    <w:rsid w:val="5354C81B"/>
    <w:rsid w:val="5355F7F1"/>
    <w:rsid w:val="535E9A4F"/>
    <w:rsid w:val="536459E3"/>
    <w:rsid w:val="5373B493"/>
    <w:rsid w:val="538894FE"/>
    <w:rsid w:val="538DBC5B"/>
    <w:rsid w:val="538F770B"/>
    <w:rsid w:val="5393F663"/>
    <w:rsid w:val="5395736C"/>
    <w:rsid w:val="5398901A"/>
    <w:rsid w:val="53993941"/>
    <w:rsid w:val="539CD7DA"/>
    <w:rsid w:val="53B52B21"/>
    <w:rsid w:val="53D1EBD5"/>
    <w:rsid w:val="53DAE6F0"/>
    <w:rsid w:val="53DEB9AF"/>
    <w:rsid w:val="53DEC517"/>
    <w:rsid w:val="53E6995D"/>
    <w:rsid w:val="53F75EAF"/>
    <w:rsid w:val="53F978BF"/>
    <w:rsid w:val="5407A868"/>
    <w:rsid w:val="54096540"/>
    <w:rsid w:val="541A54C7"/>
    <w:rsid w:val="541E3E6F"/>
    <w:rsid w:val="542AB535"/>
    <w:rsid w:val="544A0E8A"/>
    <w:rsid w:val="544AD132"/>
    <w:rsid w:val="547FE968"/>
    <w:rsid w:val="5489CE02"/>
    <w:rsid w:val="5492E1F8"/>
    <w:rsid w:val="54978804"/>
    <w:rsid w:val="5498A8B2"/>
    <w:rsid w:val="54ABB31D"/>
    <w:rsid w:val="54AC52E2"/>
    <w:rsid w:val="54CF4B1B"/>
    <w:rsid w:val="54D4FD52"/>
    <w:rsid w:val="54E5DB29"/>
    <w:rsid w:val="54EE4D17"/>
    <w:rsid w:val="54F7EDFE"/>
    <w:rsid w:val="5501EE20"/>
    <w:rsid w:val="551C4584"/>
    <w:rsid w:val="55256DA7"/>
    <w:rsid w:val="552BB03A"/>
    <w:rsid w:val="552BB43F"/>
    <w:rsid w:val="553398DE"/>
    <w:rsid w:val="553B04BF"/>
    <w:rsid w:val="5556F06E"/>
    <w:rsid w:val="55723E8B"/>
    <w:rsid w:val="5573617F"/>
    <w:rsid w:val="5577AD4A"/>
    <w:rsid w:val="557CBDBD"/>
    <w:rsid w:val="558541BC"/>
    <w:rsid w:val="55898D0A"/>
    <w:rsid w:val="559B97F6"/>
    <w:rsid w:val="55AFDDAE"/>
    <w:rsid w:val="55B02DF2"/>
    <w:rsid w:val="55B2DF21"/>
    <w:rsid w:val="55B72ABF"/>
    <w:rsid w:val="55BAC950"/>
    <w:rsid w:val="55BE910E"/>
    <w:rsid w:val="55BF169F"/>
    <w:rsid w:val="55BF7F78"/>
    <w:rsid w:val="55C54E79"/>
    <w:rsid w:val="55C84D99"/>
    <w:rsid w:val="55CA799D"/>
    <w:rsid w:val="55D08986"/>
    <w:rsid w:val="55D57B9F"/>
    <w:rsid w:val="55D99D02"/>
    <w:rsid w:val="55DD3C30"/>
    <w:rsid w:val="55F0F479"/>
    <w:rsid w:val="55F4329A"/>
    <w:rsid w:val="55F6E227"/>
    <w:rsid w:val="56036312"/>
    <w:rsid w:val="5616E388"/>
    <w:rsid w:val="56340D5E"/>
    <w:rsid w:val="5638B9FB"/>
    <w:rsid w:val="564438F8"/>
    <w:rsid w:val="5645AF6B"/>
    <w:rsid w:val="5646AE83"/>
    <w:rsid w:val="56475FE0"/>
    <w:rsid w:val="565B7E1F"/>
    <w:rsid w:val="565D1259"/>
    <w:rsid w:val="565F2C3F"/>
    <w:rsid w:val="56645B60"/>
    <w:rsid w:val="566C52F2"/>
    <w:rsid w:val="567EFAC1"/>
    <w:rsid w:val="5680CAE5"/>
    <w:rsid w:val="5680E8A3"/>
    <w:rsid w:val="568FEB84"/>
    <w:rsid w:val="569CA6CC"/>
    <w:rsid w:val="569E0844"/>
    <w:rsid w:val="56A02070"/>
    <w:rsid w:val="56A66EAA"/>
    <w:rsid w:val="56AD120C"/>
    <w:rsid w:val="56B1B035"/>
    <w:rsid w:val="56BBDAB5"/>
    <w:rsid w:val="56BBE72B"/>
    <w:rsid w:val="56C347C8"/>
    <w:rsid w:val="56C7D7F4"/>
    <w:rsid w:val="56CC4A1B"/>
    <w:rsid w:val="56EC8300"/>
    <w:rsid w:val="56F17D2B"/>
    <w:rsid w:val="5702B810"/>
    <w:rsid w:val="57043A59"/>
    <w:rsid w:val="570BB4E2"/>
    <w:rsid w:val="570FC8C9"/>
    <w:rsid w:val="5713B63D"/>
    <w:rsid w:val="57186990"/>
    <w:rsid w:val="571C589D"/>
    <w:rsid w:val="57278A4B"/>
    <w:rsid w:val="572B9ADA"/>
    <w:rsid w:val="573CCBE0"/>
    <w:rsid w:val="574FE6AA"/>
    <w:rsid w:val="5753CF2D"/>
    <w:rsid w:val="575766CB"/>
    <w:rsid w:val="57624748"/>
    <w:rsid w:val="57843E55"/>
    <w:rsid w:val="57886F27"/>
    <w:rsid w:val="57970D62"/>
    <w:rsid w:val="57B28843"/>
    <w:rsid w:val="57B8AF4F"/>
    <w:rsid w:val="57C9C778"/>
    <w:rsid w:val="57D059DC"/>
    <w:rsid w:val="57D7F9B8"/>
    <w:rsid w:val="57EB02B3"/>
    <w:rsid w:val="57EC86C9"/>
    <w:rsid w:val="57EC9E09"/>
    <w:rsid w:val="58364154"/>
    <w:rsid w:val="5841409F"/>
    <w:rsid w:val="5843A119"/>
    <w:rsid w:val="5852C6DA"/>
    <w:rsid w:val="58566EA5"/>
    <w:rsid w:val="586E4A41"/>
    <w:rsid w:val="586F0A91"/>
    <w:rsid w:val="5873E3C9"/>
    <w:rsid w:val="58763973"/>
    <w:rsid w:val="588770E8"/>
    <w:rsid w:val="5890CEBF"/>
    <w:rsid w:val="58A590AD"/>
    <w:rsid w:val="58A90C84"/>
    <w:rsid w:val="58B1ACF8"/>
    <w:rsid w:val="58B9DB20"/>
    <w:rsid w:val="58C22D47"/>
    <w:rsid w:val="58D58493"/>
    <w:rsid w:val="58E08ADB"/>
    <w:rsid w:val="58E199F7"/>
    <w:rsid w:val="58F4B054"/>
    <w:rsid w:val="58F53E85"/>
    <w:rsid w:val="58F73D19"/>
    <w:rsid w:val="58FDF370"/>
    <w:rsid w:val="5900B5E7"/>
    <w:rsid w:val="5912C87B"/>
    <w:rsid w:val="5912E6D9"/>
    <w:rsid w:val="59228EDE"/>
    <w:rsid w:val="59277145"/>
    <w:rsid w:val="5929270B"/>
    <w:rsid w:val="59367DDE"/>
    <w:rsid w:val="593F9A35"/>
    <w:rsid w:val="594804BF"/>
    <w:rsid w:val="594B6D6C"/>
    <w:rsid w:val="59555CFC"/>
    <w:rsid w:val="596177F2"/>
    <w:rsid w:val="596F45D8"/>
    <w:rsid w:val="59717771"/>
    <w:rsid w:val="5972E8E0"/>
    <w:rsid w:val="597B5230"/>
    <w:rsid w:val="59817F2D"/>
    <w:rsid w:val="59968ACE"/>
    <w:rsid w:val="599B1BD1"/>
    <w:rsid w:val="59A019E2"/>
    <w:rsid w:val="59C5D4B0"/>
    <w:rsid w:val="59C84C48"/>
    <w:rsid w:val="59C875B2"/>
    <w:rsid w:val="59D9C058"/>
    <w:rsid w:val="59DDCCFE"/>
    <w:rsid w:val="59EA6511"/>
    <w:rsid w:val="59F5CCF9"/>
    <w:rsid w:val="59FFE8FA"/>
    <w:rsid w:val="5A02AB96"/>
    <w:rsid w:val="5A07D2AD"/>
    <w:rsid w:val="5A152E03"/>
    <w:rsid w:val="5A17DA38"/>
    <w:rsid w:val="5A1B4509"/>
    <w:rsid w:val="5A1C9885"/>
    <w:rsid w:val="5A3F8FF3"/>
    <w:rsid w:val="5A40B343"/>
    <w:rsid w:val="5A4A5A94"/>
    <w:rsid w:val="5A600349"/>
    <w:rsid w:val="5A668C3E"/>
    <w:rsid w:val="5A7555FF"/>
    <w:rsid w:val="5A7DA9FA"/>
    <w:rsid w:val="5A86DBA6"/>
    <w:rsid w:val="5A967E5E"/>
    <w:rsid w:val="5A9B217B"/>
    <w:rsid w:val="5AB76D25"/>
    <w:rsid w:val="5AC0C4DD"/>
    <w:rsid w:val="5AE0514C"/>
    <w:rsid w:val="5B00E896"/>
    <w:rsid w:val="5B04B986"/>
    <w:rsid w:val="5B0B31BF"/>
    <w:rsid w:val="5B12CB61"/>
    <w:rsid w:val="5B13D85D"/>
    <w:rsid w:val="5B1D0E20"/>
    <w:rsid w:val="5B23CFED"/>
    <w:rsid w:val="5B2DC51F"/>
    <w:rsid w:val="5B3F6427"/>
    <w:rsid w:val="5B4E076F"/>
    <w:rsid w:val="5B51C2E6"/>
    <w:rsid w:val="5B583EBD"/>
    <w:rsid w:val="5B647AF4"/>
    <w:rsid w:val="5B65CDDF"/>
    <w:rsid w:val="5B70BC27"/>
    <w:rsid w:val="5B70C5A9"/>
    <w:rsid w:val="5B7DF3DB"/>
    <w:rsid w:val="5B8B22C9"/>
    <w:rsid w:val="5B8FADF6"/>
    <w:rsid w:val="5B93E92B"/>
    <w:rsid w:val="5B9411FE"/>
    <w:rsid w:val="5BA19962"/>
    <w:rsid w:val="5BA8A314"/>
    <w:rsid w:val="5BA970E3"/>
    <w:rsid w:val="5BABB0A0"/>
    <w:rsid w:val="5BB524C3"/>
    <w:rsid w:val="5BC68D49"/>
    <w:rsid w:val="5BC6BA30"/>
    <w:rsid w:val="5BC6BBF9"/>
    <w:rsid w:val="5BCE4099"/>
    <w:rsid w:val="5BD03344"/>
    <w:rsid w:val="5BDCD801"/>
    <w:rsid w:val="5BE47197"/>
    <w:rsid w:val="5BF3A3A0"/>
    <w:rsid w:val="5BF55D41"/>
    <w:rsid w:val="5C043CA5"/>
    <w:rsid w:val="5C09910D"/>
    <w:rsid w:val="5C2852D0"/>
    <w:rsid w:val="5C28877B"/>
    <w:rsid w:val="5C2BA450"/>
    <w:rsid w:val="5C333CA3"/>
    <w:rsid w:val="5C35C574"/>
    <w:rsid w:val="5C3D69CA"/>
    <w:rsid w:val="5C407DC8"/>
    <w:rsid w:val="5C554275"/>
    <w:rsid w:val="5C5A61E8"/>
    <w:rsid w:val="5C6887FF"/>
    <w:rsid w:val="5C836EAE"/>
    <w:rsid w:val="5C881A2C"/>
    <w:rsid w:val="5C965302"/>
    <w:rsid w:val="5C96D81D"/>
    <w:rsid w:val="5CB8DE81"/>
    <w:rsid w:val="5CBA0B1E"/>
    <w:rsid w:val="5CD6A659"/>
    <w:rsid w:val="5CE04FEE"/>
    <w:rsid w:val="5CE305A5"/>
    <w:rsid w:val="5CE4649C"/>
    <w:rsid w:val="5CE4C744"/>
    <w:rsid w:val="5CECEF85"/>
    <w:rsid w:val="5CF43F96"/>
    <w:rsid w:val="5CF8D34E"/>
    <w:rsid w:val="5D0358D9"/>
    <w:rsid w:val="5D042758"/>
    <w:rsid w:val="5D20EF34"/>
    <w:rsid w:val="5D23D736"/>
    <w:rsid w:val="5D2BABA2"/>
    <w:rsid w:val="5D355939"/>
    <w:rsid w:val="5D51AA0B"/>
    <w:rsid w:val="5D697039"/>
    <w:rsid w:val="5D6E00C5"/>
    <w:rsid w:val="5D70B2C1"/>
    <w:rsid w:val="5D71AE82"/>
    <w:rsid w:val="5D7B006B"/>
    <w:rsid w:val="5D84F3F1"/>
    <w:rsid w:val="5DA59608"/>
    <w:rsid w:val="5DA5D122"/>
    <w:rsid w:val="5DAA8C5E"/>
    <w:rsid w:val="5DB5C7E3"/>
    <w:rsid w:val="5DBB4B07"/>
    <w:rsid w:val="5DBDA106"/>
    <w:rsid w:val="5DBEAFF7"/>
    <w:rsid w:val="5DBFD008"/>
    <w:rsid w:val="5DC175CE"/>
    <w:rsid w:val="5DDE9F44"/>
    <w:rsid w:val="5DFBAADF"/>
    <w:rsid w:val="5DFC2480"/>
    <w:rsid w:val="5DFFCAC4"/>
    <w:rsid w:val="5E1061A2"/>
    <w:rsid w:val="5E223688"/>
    <w:rsid w:val="5E2745B1"/>
    <w:rsid w:val="5E29E4C4"/>
    <w:rsid w:val="5E2C7389"/>
    <w:rsid w:val="5E2C7950"/>
    <w:rsid w:val="5E305626"/>
    <w:rsid w:val="5E42EE33"/>
    <w:rsid w:val="5E43397D"/>
    <w:rsid w:val="5E4E8D37"/>
    <w:rsid w:val="5E54AEE2"/>
    <w:rsid w:val="5E62D549"/>
    <w:rsid w:val="5E67ED79"/>
    <w:rsid w:val="5E6AFA8F"/>
    <w:rsid w:val="5E6AFDBA"/>
    <w:rsid w:val="5E6C74D1"/>
    <w:rsid w:val="5E727853"/>
    <w:rsid w:val="5E759659"/>
    <w:rsid w:val="5E79BB38"/>
    <w:rsid w:val="5E84A30B"/>
    <w:rsid w:val="5E8AB32F"/>
    <w:rsid w:val="5E8D5382"/>
    <w:rsid w:val="5E92C00A"/>
    <w:rsid w:val="5EBAF4E1"/>
    <w:rsid w:val="5EC25676"/>
    <w:rsid w:val="5EC53A57"/>
    <w:rsid w:val="5EC58FDB"/>
    <w:rsid w:val="5ED33200"/>
    <w:rsid w:val="5ED68FA2"/>
    <w:rsid w:val="5EE37DB5"/>
    <w:rsid w:val="5EEAB064"/>
    <w:rsid w:val="5EED44B2"/>
    <w:rsid w:val="5EEDB2A9"/>
    <w:rsid w:val="5EF94227"/>
    <w:rsid w:val="5F0B2C37"/>
    <w:rsid w:val="5F1E032E"/>
    <w:rsid w:val="5F2E6D7A"/>
    <w:rsid w:val="5F2FFE61"/>
    <w:rsid w:val="5F34F107"/>
    <w:rsid w:val="5F3B9F60"/>
    <w:rsid w:val="5F3BBB0A"/>
    <w:rsid w:val="5F450AC4"/>
    <w:rsid w:val="5F542698"/>
    <w:rsid w:val="5F57FD8B"/>
    <w:rsid w:val="5F5F164F"/>
    <w:rsid w:val="5F609E97"/>
    <w:rsid w:val="5F661245"/>
    <w:rsid w:val="5F69EF81"/>
    <w:rsid w:val="5F7CD259"/>
    <w:rsid w:val="5F7E3827"/>
    <w:rsid w:val="5F830FB0"/>
    <w:rsid w:val="5F902880"/>
    <w:rsid w:val="5FA47973"/>
    <w:rsid w:val="5FA85995"/>
    <w:rsid w:val="5FACC0D9"/>
    <w:rsid w:val="5FB1A460"/>
    <w:rsid w:val="5FC65978"/>
    <w:rsid w:val="5FD2610F"/>
    <w:rsid w:val="5FD60439"/>
    <w:rsid w:val="5FD8C0AB"/>
    <w:rsid w:val="5FDA8A0A"/>
    <w:rsid w:val="5FDABC59"/>
    <w:rsid w:val="5FFBDAFD"/>
    <w:rsid w:val="60076769"/>
    <w:rsid w:val="6007AE7E"/>
    <w:rsid w:val="602A0718"/>
    <w:rsid w:val="602BB207"/>
    <w:rsid w:val="6031EE72"/>
    <w:rsid w:val="605F14CE"/>
    <w:rsid w:val="60682C77"/>
    <w:rsid w:val="608DBB30"/>
    <w:rsid w:val="60920E48"/>
    <w:rsid w:val="60976A64"/>
    <w:rsid w:val="609780E0"/>
    <w:rsid w:val="60A17931"/>
    <w:rsid w:val="60AC6851"/>
    <w:rsid w:val="60B7C014"/>
    <w:rsid w:val="60B954C3"/>
    <w:rsid w:val="60BADA7E"/>
    <w:rsid w:val="60C64BD9"/>
    <w:rsid w:val="60D105B4"/>
    <w:rsid w:val="60D1FC7D"/>
    <w:rsid w:val="60E2A2EB"/>
    <w:rsid w:val="60EA432F"/>
    <w:rsid w:val="60EFA6E0"/>
    <w:rsid w:val="60F747A4"/>
    <w:rsid w:val="6119477B"/>
    <w:rsid w:val="6135ADB1"/>
    <w:rsid w:val="6136EE33"/>
    <w:rsid w:val="61492756"/>
    <w:rsid w:val="6149F198"/>
    <w:rsid w:val="614A7F9E"/>
    <w:rsid w:val="615DDCAA"/>
    <w:rsid w:val="619811EE"/>
    <w:rsid w:val="619A5545"/>
    <w:rsid w:val="61AF2AEA"/>
    <w:rsid w:val="61B59F1A"/>
    <w:rsid w:val="61B9E55D"/>
    <w:rsid w:val="61BFFAAC"/>
    <w:rsid w:val="61C47F5D"/>
    <w:rsid w:val="61CB6762"/>
    <w:rsid w:val="61CC2CA2"/>
    <w:rsid w:val="61DB8418"/>
    <w:rsid w:val="61DF1691"/>
    <w:rsid w:val="6208DAF7"/>
    <w:rsid w:val="6209CE88"/>
    <w:rsid w:val="6215D235"/>
    <w:rsid w:val="621B6132"/>
    <w:rsid w:val="6220B6B7"/>
    <w:rsid w:val="6223DDE2"/>
    <w:rsid w:val="622C1F54"/>
    <w:rsid w:val="622D9A6D"/>
    <w:rsid w:val="6231805B"/>
    <w:rsid w:val="62330372"/>
    <w:rsid w:val="6234D714"/>
    <w:rsid w:val="62356A73"/>
    <w:rsid w:val="6244D918"/>
    <w:rsid w:val="62471804"/>
    <w:rsid w:val="624DD0E9"/>
    <w:rsid w:val="6251B683"/>
    <w:rsid w:val="6262EF66"/>
    <w:rsid w:val="62659020"/>
    <w:rsid w:val="626A1A96"/>
    <w:rsid w:val="626CCF41"/>
    <w:rsid w:val="626E1AB0"/>
    <w:rsid w:val="62725032"/>
    <w:rsid w:val="6279072B"/>
    <w:rsid w:val="628E6F4B"/>
    <w:rsid w:val="62921D27"/>
    <w:rsid w:val="62921E55"/>
    <w:rsid w:val="6296E70A"/>
    <w:rsid w:val="62C57B66"/>
    <w:rsid w:val="62C74F7E"/>
    <w:rsid w:val="62C920A4"/>
    <w:rsid w:val="62C98E80"/>
    <w:rsid w:val="62DAF44F"/>
    <w:rsid w:val="62DBADEE"/>
    <w:rsid w:val="62EB37CB"/>
    <w:rsid w:val="62FEA97D"/>
    <w:rsid w:val="6303BA80"/>
    <w:rsid w:val="6310150A"/>
    <w:rsid w:val="6314F788"/>
    <w:rsid w:val="63160865"/>
    <w:rsid w:val="63184C1E"/>
    <w:rsid w:val="631B24BF"/>
    <w:rsid w:val="63212088"/>
    <w:rsid w:val="6335071D"/>
    <w:rsid w:val="633DC620"/>
    <w:rsid w:val="633FB8E1"/>
    <w:rsid w:val="6346A442"/>
    <w:rsid w:val="634C3C60"/>
    <w:rsid w:val="6368C287"/>
    <w:rsid w:val="63717966"/>
    <w:rsid w:val="63757D5C"/>
    <w:rsid w:val="63785736"/>
    <w:rsid w:val="63839C2C"/>
    <w:rsid w:val="63858F0E"/>
    <w:rsid w:val="638DD440"/>
    <w:rsid w:val="63974093"/>
    <w:rsid w:val="63A18E6D"/>
    <w:rsid w:val="63AA41C5"/>
    <w:rsid w:val="63ADF52E"/>
    <w:rsid w:val="63AEED6A"/>
    <w:rsid w:val="63B167D6"/>
    <w:rsid w:val="63BD1E2D"/>
    <w:rsid w:val="63C536D2"/>
    <w:rsid w:val="63C68F28"/>
    <w:rsid w:val="63C8317E"/>
    <w:rsid w:val="63F06578"/>
    <w:rsid w:val="63F56649"/>
    <w:rsid w:val="63F9335E"/>
    <w:rsid w:val="63FB1112"/>
    <w:rsid w:val="640C87EA"/>
    <w:rsid w:val="640DDE48"/>
    <w:rsid w:val="640E57BA"/>
    <w:rsid w:val="641470FE"/>
    <w:rsid w:val="6414DED3"/>
    <w:rsid w:val="641B4D11"/>
    <w:rsid w:val="6425525B"/>
    <w:rsid w:val="643769B2"/>
    <w:rsid w:val="643EE829"/>
    <w:rsid w:val="644C7571"/>
    <w:rsid w:val="645E702C"/>
    <w:rsid w:val="645F0171"/>
    <w:rsid w:val="64636C63"/>
    <w:rsid w:val="64688DE5"/>
    <w:rsid w:val="6476B68A"/>
    <w:rsid w:val="64828A5E"/>
    <w:rsid w:val="64845B04"/>
    <w:rsid w:val="648BE791"/>
    <w:rsid w:val="649FC258"/>
    <w:rsid w:val="64B79C80"/>
    <w:rsid w:val="64BAB36B"/>
    <w:rsid w:val="64C2B86A"/>
    <w:rsid w:val="64C2F20F"/>
    <w:rsid w:val="64C70B74"/>
    <w:rsid w:val="64C954C6"/>
    <w:rsid w:val="64CFBBE7"/>
    <w:rsid w:val="64DD04E4"/>
    <w:rsid w:val="64E5B387"/>
    <w:rsid w:val="64E5FC53"/>
    <w:rsid w:val="6509BC61"/>
    <w:rsid w:val="65242D9D"/>
    <w:rsid w:val="65361389"/>
    <w:rsid w:val="6536E06A"/>
    <w:rsid w:val="653EB2D1"/>
    <w:rsid w:val="653F5F68"/>
    <w:rsid w:val="6544B344"/>
    <w:rsid w:val="654CAB00"/>
    <w:rsid w:val="65560223"/>
    <w:rsid w:val="655A3B42"/>
    <w:rsid w:val="656387CA"/>
    <w:rsid w:val="656444C3"/>
    <w:rsid w:val="656C86E2"/>
    <w:rsid w:val="6570CB10"/>
    <w:rsid w:val="657454C9"/>
    <w:rsid w:val="65910AB6"/>
    <w:rsid w:val="659FC3C3"/>
    <w:rsid w:val="65A5BB72"/>
    <w:rsid w:val="65AB6AE6"/>
    <w:rsid w:val="65C5BBB2"/>
    <w:rsid w:val="65CB91F4"/>
    <w:rsid w:val="65D4B2A6"/>
    <w:rsid w:val="65E14F9A"/>
    <w:rsid w:val="65E51114"/>
    <w:rsid w:val="65E6DF7A"/>
    <w:rsid w:val="65E87A19"/>
    <w:rsid w:val="65F69AFB"/>
    <w:rsid w:val="65FD57F6"/>
    <w:rsid w:val="65FE2624"/>
    <w:rsid w:val="660A7D1F"/>
    <w:rsid w:val="660D485C"/>
    <w:rsid w:val="6610D495"/>
    <w:rsid w:val="662B550C"/>
    <w:rsid w:val="66319F49"/>
    <w:rsid w:val="6637F736"/>
    <w:rsid w:val="6649A2F2"/>
    <w:rsid w:val="664C2684"/>
    <w:rsid w:val="6654B063"/>
    <w:rsid w:val="66586486"/>
    <w:rsid w:val="66618229"/>
    <w:rsid w:val="66651DC8"/>
    <w:rsid w:val="66696AEF"/>
    <w:rsid w:val="6683CA61"/>
    <w:rsid w:val="668555F8"/>
    <w:rsid w:val="6686EDCE"/>
    <w:rsid w:val="6687329D"/>
    <w:rsid w:val="669284E5"/>
    <w:rsid w:val="669FF810"/>
    <w:rsid w:val="66BB069C"/>
    <w:rsid w:val="66BC440F"/>
    <w:rsid w:val="66C0AD28"/>
    <w:rsid w:val="66C34D7D"/>
    <w:rsid w:val="66C7FB7F"/>
    <w:rsid w:val="66E7A96C"/>
    <w:rsid w:val="66EB62FF"/>
    <w:rsid w:val="66F9314E"/>
    <w:rsid w:val="670BFB98"/>
    <w:rsid w:val="67276FAC"/>
    <w:rsid w:val="67328189"/>
    <w:rsid w:val="6741A82A"/>
    <w:rsid w:val="67513AAC"/>
    <w:rsid w:val="6751469D"/>
    <w:rsid w:val="67519731"/>
    <w:rsid w:val="675798A7"/>
    <w:rsid w:val="675F31FA"/>
    <w:rsid w:val="6767C0FE"/>
    <w:rsid w:val="676E6917"/>
    <w:rsid w:val="6771C4BB"/>
    <w:rsid w:val="6775318B"/>
    <w:rsid w:val="6781AB3F"/>
    <w:rsid w:val="67874A8F"/>
    <w:rsid w:val="6798C4A4"/>
    <w:rsid w:val="67AB4C32"/>
    <w:rsid w:val="67ADEDF2"/>
    <w:rsid w:val="67BA57D7"/>
    <w:rsid w:val="67BC45B8"/>
    <w:rsid w:val="67C69B88"/>
    <w:rsid w:val="67C6E1E7"/>
    <w:rsid w:val="67CF998C"/>
    <w:rsid w:val="67D7C621"/>
    <w:rsid w:val="67DC5BC5"/>
    <w:rsid w:val="67E1C7FA"/>
    <w:rsid w:val="67E6D667"/>
    <w:rsid w:val="67E82285"/>
    <w:rsid w:val="68014191"/>
    <w:rsid w:val="680E76F4"/>
    <w:rsid w:val="681399AF"/>
    <w:rsid w:val="6819B99C"/>
    <w:rsid w:val="681F32E7"/>
    <w:rsid w:val="682571BE"/>
    <w:rsid w:val="6825EEC1"/>
    <w:rsid w:val="68348C33"/>
    <w:rsid w:val="6839CDB5"/>
    <w:rsid w:val="6844BB64"/>
    <w:rsid w:val="684866AE"/>
    <w:rsid w:val="68576A6D"/>
    <w:rsid w:val="685C15C0"/>
    <w:rsid w:val="68660B1D"/>
    <w:rsid w:val="6872E34C"/>
    <w:rsid w:val="687FBE52"/>
    <w:rsid w:val="68803ADF"/>
    <w:rsid w:val="689F3FB5"/>
    <w:rsid w:val="68B75F1C"/>
    <w:rsid w:val="68B8763E"/>
    <w:rsid w:val="68C300FB"/>
    <w:rsid w:val="68C47DCA"/>
    <w:rsid w:val="68D60819"/>
    <w:rsid w:val="68D6F2A6"/>
    <w:rsid w:val="68E2794A"/>
    <w:rsid w:val="68ED16FE"/>
    <w:rsid w:val="68F7ADE8"/>
    <w:rsid w:val="68FD5C74"/>
    <w:rsid w:val="6903D018"/>
    <w:rsid w:val="69235C2E"/>
    <w:rsid w:val="693098FA"/>
    <w:rsid w:val="69359165"/>
    <w:rsid w:val="69421E8A"/>
    <w:rsid w:val="694B2BA7"/>
    <w:rsid w:val="6956B9A1"/>
    <w:rsid w:val="695913A3"/>
    <w:rsid w:val="69626BE9"/>
    <w:rsid w:val="6963B842"/>
    <w:rsid w:val="697916A8"/>
    <w:rsid w:val="697A0EF6"/>
    <w:rsid w:val="6983F2BD"/>
    <w:rsid w:val="698FACB9"/>
    <w:rsid w:val="69AFCF65"/>
    <w:rsid w:val="69B281D2"/>
    <w:rsid w:val="69B2EC23"/>
    <w:rsid w:val="69C05237"/>
    <w:rsid w:val="69C1A2EE"/>
    <w:rsid w:val="69CF151D"/>
    <w:rsid w:val="69DC4E3C"/>
    <w:rsid w:val="69E4F1B2"/>
    <w:rsid w:val="69EC6AAA"/>
    <w:rsid w:val="69F0956D"/>
    <w:rsid w:val="69F6ED7D"/>
    <w:rsid w:val="6A01E85E"/>
    <w:rsid w:val="6A02853C"/>
    <w:rsid w:val="6A100EC5"/>
    <w:rsid w:val="6A1D2470"/>
    <w:rsid w:val="6A1D4D4C"/>
    <w:rsid w:val="6A20531A"/>
    <w:rsid w:val="6A273C3E"/>
    <w:rsid w:val="6A35087A"/>
    <w:rsid w:val="6A357912"/>
    <w:rsid w:val="6A3915A0"/>
    <w:rsid w:val="6A41A1B2"/>
    <w:rsid w:val="6A522D2D"/>
    <w:rsid w:val="6A5B8482"/>
    <w:rsid w:val="6A687262"/>
    <w:rsid w:val="6A7349B2"/>
    <w:rsid w:val="6A792C95"/>
    <w:rsid w:val="6A7D1711"/>
    <w:rsid w:val="6A7D393D"/>
    <w:rsid w:val="6A87D515"/>
    <w:rsid w:val="6A95F9ED"/>
    <w:rsid w:val="6A992CD5"/>
    <w:rsid w:val="6A9F286A"/>
    <w:rsid w:val="6AA298B1"/>
    <w:rsid w:val="6AA5F375"/>
    <w:rsid w:val="6AA7B5AA"/>
    <w:rsid w:val="6AAE78C0"/>
    <w:rsid w:val="6AB581E0"/>
    <w:rsid w:val="6AB78C10"/>
    <w:rsid w:val="6AC873A8"/>
    <w:rsid w:val="6ACC35EC"/>
    <w:rsid w:val="6AD53B69"/>
    <w:rsid w:val="6ADFD6E7"/>
    <w:rsid w:val="6AE0054E"/>
    <w:rsid w:val="6AE22ECB"/>
    <w:rsid w:val="6AF18C1D"/>
    <w:rsid w:val="6B00DDAB"/>
    <w:rsid w:val="6B010D86"/>
    <w:rsid w:val="6B0139BC"/>
    <w:rsid w:val="6B02D3EE"/>
    <w:rsid w:val="6B098B07"/>
    <w:rsid w:val="6B180AD4"/>
    <w:rsid w:val="6B191259"/>
    <w:rsid w:val="6B1A84BC"/>
    <w:rsid w:val="6B2EC0EB"/>
    <w:rsid w:val="6B38F6D2"/>
    <w:rsid w:val="6B3C09DD"/>
    <w:rsid w:val="6B3C63F8"/>
    <w:rsid w:val="6B42FFF0"/>
    <w:rsid w:val="6B52CE41"/>
    <w:rsid w:val="6B61592D"/>
    <w:rsid w:val="6B66AFD9"/>
    <w:rsid w:val="6B68DDAF"/>
    <w:rsid w:val="6B6B72CF"/>
    <w:rsid w:val="6B73788A"/>
    <w:rsid w:val="6B85A10E"/>
    <w:rsid w:val="6B87C4CC"/>
    <w:rsid w:val="6B8B3CE7"/>
    <w:rsid w:val="6BA14691"/>
    <w:rsid w:val="6BA516EE"/>
    <w:rsid w:val="6BA88A57"/>
    <w:rsid w:val="6BB12D1A"/>
    <w:rsid w:val="6BB7A3BF"/>
    <w:rsid w:val="6BE183B4"/>
    <w:rsid w:val="6BE1DFCD"/>
    <w:rsid w:val="6BE2A57E"/>
    <w:rsid w:val="6BE55F78"/>
    <w:rsid w:val="6BED7E37"/>
    <w:rsid w:val="6BEED78B"/>
    <w:rsid w:val="6BF2024D"/>
    <w:rsid w:val="6BF54A86"/>
    <w:rsid w:val="6BFCCF12"/>
    <w:rsid w:val="6BFFB0A4"/>
    <w:rsid w:val="6C054F5C"/>
    <w:rsid w:val="6C0AA9EA"/>
    <w:rsid w:val="6C121607"/>
    <w:rsid w:val="6C14FCF6"/>
    <w:rsid w:val="6C1A7B57"/>
    <w:rsid w:val="6C4530A3"/>
    <w:rsid w:val="6C486B70"/>
    <w:rsid w:val="6C668EF5"/>
    <w:rsid w:val="6C71EFCC"/>
    <w:rsid w:val="6C726C4A"/>
    <w:rsid w:val="6C7CDC8F"/>
    <w:rsid w:val="6C928D4D"/>
    <w:rsid w:val="6C9992E1"/>
    <w:rsid w:val="6C9FE8A5"/>
    <w:rsid w:val="6CA2BA56"/>
    <w:rsid w:val="6CA2EDD9"/>
    <w:rsid w:val="6CAA79DF"/>
    <w:rsid w:val="6CBE97C2"/>
    <w:rsid w:val="6CC53054"/>
    <w:rsid w:val="6CC85B71"/>
    <w:rsid w:val="6CCA0BC7"/>
    <w:rsid w:val="6CCD7631"/>
    <w:rsid w:val="6CCE0202"/>
    <w:rsid w:val="6CDF78B9"/>
    <w:rsid w:val="6CF87704"/>
    <w:rsid w:val="6D03E7AB"/>
    <w:rsid w:val="6D1B3B1F"/>
    <w:rsid w:val="6D2604E2"/>
    <w:rsid w:val="6D358BD3"/>
    <w:rsid w:val="6D412E58"/>
    <w:rsid w:val="6D42C455"/>
    <w:rsid w:val="6D4AE605"/>
    <w:rsid w:val="6D5EAEB8"/>
    <w:rsid w:val="6D6763AA"/>
    <w:rsid w:val="6D8CCA3F"/>
    <w:rsid w:val="6D94FBF8"/>
    <w:rsid w:val="6DB337C3"/>
    <w:rsid w:val="6DB57AB5"/>
    <w:rsid w:val="6DC4E7F0"/>
    <w:rsid w:val="6DC8D980"/>
    <w:rsid w:val="6DCC094C"/>
    <w:rsid w:val="6DCDAB3D"/>
    <w:rsid w:val="6DD836BC"/>
    <w:rsid w:val="6DDA00B5"/>
    <w:rsid w:val="6DE8C062"/>
    <w:rsid w:val="6DFD7691"/>
    <w:rsid w:val="6E0AD82B"/>
    <w:rsid w:val="6E11EF2C"/>
    <w:rsid w:val="6E1F0D70"/>
    <w:rsid w:val="6E25FF6D"/>
    <w:rsid w:val="6E2DA184"/>
    <w:rsid w:val="6E32856C"/>
    <w:rsid w:val="6E37FCBD"/>
    <w:rsid w:val="6E38F916"/>
    <w:rsid w:val="6E3C94F7"/>
    <w:rsid w:val="6E3E01A0"/>
    <w:rsid w:val="6E407C82"/>
    <w:rsid w:val="6E410C88"/>
    <w:rsid w:val="6E46E63F"/>
    <w:rsid w:val="6E513105"/>
    <w:rsid w:val="6E55844D"/>
    <w:rsid w:val="6E641CCB"/>
    <w:rsid w:val="6E653EEB"/>
    <w:rsid w:val="6E7C5358"/>
    <w:rsid w:val="6E839135"/>
    <w:rsid w:val="6E8B3BED"/>
    <w:rsid w:val="6E8EDBD3"/>
    <w:rsid w:val="6E99BC2B"/>
    <w:rsid w:val="6E9C4EEE"/>
    <w:rsid w:val="6EAF00C4"/>
    <w:rsid w:val="6EAF8295"/>
    <w:rsid w:val="6EB47808"/>
    <w:rsid w:val="6ED23AA9"/>
    <w:rsid w:val="6EE9D7E7"/>
    <w:rsid w:val="6EED1B5E"/>
    <w:rsid w:val="6F1DAD66"/>
    <w:rsid w:val="6F1DD789"/>
    <w:rsid w:val="6F228A49"/>
    <w:rsid w:val="6F2F7FF1"/>
    <w:rsid w:val="6F314952"/>
    <w:rsid w:val="6F4AFB7F"/>
    <w:rsid w:val="6F51E1DE"/>
    <w:rsid w:val="6F5C8369"/>
    <w:rsid w:val="6F68C1A4"/>
    <w:rsid w:val="6F722AF4"/>
    <w:rsid w:val="6F762F11"/>
    <w:rsid w:val="6F77F4BB"/>
    <w:rsid w:val="6F78F0D9"/>
    <w:rsid w:val="6F7B4CE5"/>
    <w:rsid w:val="6F8A1448"/>
    <w:rsid w:val="6F9B6CB9"/>
    <w:rsid w:val="6F9FB908"/>
    <w:rsid w:val="6FA2BE67"/>
    <w:rsid w:val="6FAC2AB9"/>
    <w:rsid w:val="6FAE67A4"/>
    <w:rsid w:val="6FB31BD7"/>
    <w:rsid w:val="6FBD782C"/>
    <w:rsid w:val="6FCC57CD"/>
    <w:rsid w:val="6FD55CA1"/>
    <w:rsid w:val="6FDA6955"/>
    <w:rsid w:val="6FEB2AAC"/>
    <w:rsid w:val="6FF04727"/>
    <w:rsid w:val="7001CB7F"/>
    <w:rsid w:val="700F763F"/>
    <w:rsid w:val="70120E31"/>
    <w:rsid w:val="701D4761"/>
    <w:rsid w:val="701D54D1"/>
    <w:rsid w:val="701EFEDD"/>
    <w:rsid w:val="70244CA5"/>
    <w:rsid w:val="702F21EC"/>
    <w:rsid w:val="70397A8A"/>
    <w:rsid w:val="7048AD01"/>
    <w:rsid w:val="70572D0A"/>
    <w:rsid w:val="705A2A3C"/>
    <w:rsid w:val="705C68B6"/>
    <w:rsid w:val="706793A8"/>
    <w:rsid w:val="70708505"/>
    <w:rsid w:val="7083BE65"/>
    <w:rsid w:val="7086CFED"/>
    <w:rsid w:val="7087D33D"/>
    <w:rsid w:val="70980C27"/>
    <w:rsid w:val="709971D3"/>
    <w:rsid w:val="70A2B65C"/>
    <w:rsid w:val="70A47BE6"/>
    <w:rsid w:val="70A5B0F4"/>
    <w:rsid w:val="70A93F1B"/>
    <w:rsid w:val="70AD4535"/>
    <w:rsid w:val="70B2E246"/>
    <w:rsid w:val="70B92BF7"/>
    <w:rsid w:val="70C08845"/>
    <w:rsid w:val="70C34551"/>
    <w:rsid w:val="70C57060"/>
    <w:rsid w:val="70CADB87"/>
    <w:rsid w:val="70D217E8"/>
    <w:rsid w:val="70D396DA"/>
    <w:rsid w:val="70D3F75F"/>
    <w:rsid w:val="70D9BA13"/>
    <w:rsid w:val="70E6EC4C"/>
    <w:rsid w:val="70E83953"/>
    <w:rsid w:val="70F65A1F"/>
    <w:rsid w:val="70FB1DE2"/>
    <w:rsid w:val="70FC81E9"/>
    <w:rsid w:val="71090A30"/>
    <w:rsid w:val="710D27C9"/>
    <w:rsid w:val="710E2DA9"/>
    <w:rsid w:val="71149C18"/>
    <w:rsid w:val="7120DA87"/>
    <w:rsid w:val="7121714F"/>
    <w:rsid w:val="7125E94F"/>
    <w:rsid w:val="71585280"/>
    <w:rsid w:val="7164F255"/>
    <w:rsid w:val="716B49FD"/>
    <w:rsid w:val="716F20B4"/>
    <w:rsid w:val="719F40F0"/>
    <w:rsid w:val="71AF99C6"/>
    <w:rsid w:val="71C35069"/>
    <w:rsid w:val="71C4CD84"/>
    <w:rsid w:val="71D24E0C"/>
    <w:rsid w:val="71DB898C"/>
    <w:rsid w:val="71E10126"/>
    <w:rsid w:val="71F3C925"/>
    <w:rsid w:val="7208B090"/>
    <w:rsid w:val="721CED03"/>
    <w:rsid w:val="721FB00E"/>
    <w:rsid w:val="72286766"/>
    <w:rsid w:val="723C8410"/>
    <w:rsid w:val="72565030"/>
    <w:rsid w:val="7257F41F"/>
    <w:rsid w:val="7259AF72"/>
    <w:rsid w:val="7262847D"/>
    <w:rsid w:val="726637D1"/>
    <w:rsid w:val="727088C7"/>
    <w:rsid w:val="7276EC77"/>
    <w:rsid w:val="72783657"/>
    <w:rsid w:val="7279112A"/>
    <w:rsid w:val="72996A30"/>
    <w:rsid w:val="72A43EBA"/>
    <w:rsid w:val="72D03D24"/>
    <w:rsid w:val="72FC3FF8"/>
    <w:rsid w:val="730659EB"/>
    <w:rsid w:val="73096F81"/>
    <w:rsid w:val="731C1413"/>
    <w:rsid w:val="7322DCEB"/>
    <w:rsid w:val="7339BEB5"/>
    <w:rsid w:val="73433B33"/>
    <w:rsid w:val="7343EF29"/>
    <w:rsid w:val="7355EF71"/>
    <w:rsid w:val="735C676C"/>
    <w:rsid w:val="735E2AB3"/>
    <w:rsid w:val="7373C731"/>
    <w:rsid w:val="737D11F2"/>
    <w:rsid w:val="7382AC3F"/>
    <w:rsid w:val="73940540"/>
    <w:rsid w:val="73993122"/>
    <w:rsid w:val="73A2CF70"/>
    <w:rsid w:val="73B7B0B7"/>
    <w:rsid w:val="73C81EC5"/>
    <w:rsid w:val="73D997DF"/>
    <w:rsid w:val="73DA5BD7"/>
    <w:rsid w:val="74079A9C"/>
    <w:rsid w:val="7422AE3C"/>
    <w:rsid w:val="7426CA3B"/>
    <w:rsid w:val="7427FCB5"/>
    <w:rsid w:val="7428C8BE"/>
    <w:rsid w:val="74308915"/>
    <w:rsid w:val="7432E79D"/>
    <w:rsid w:val="7437460C"/>
    <w:rsid w:val="743E5FB5"/>
    <w:rsid w:val="745F1752"/>
    <w:rsid w:val="7460B89E"/>
    <w:rsid w:val="7467D2E3"/>
    <w:rsid w:val="7468EFC8"/>
    <w:rsid w:val="746A71BA"/>
    <w:rsid w:val="747937C9"/>
    <w:rsid w:val="747F86B4"/>
    <w:rsid w:val="7485E0C4"/>
    <w:rsid w:val="748C0461"/>
    <w:rsid w:val="74904472"/>
    <w:rsid w:val="74933AF9"/>
    <w:rsid w:val="749512F9"/>
    <w:rsid w:val="749F143A"/>
    <w:rsid w:val="74AA0F2B"/>
    <w:rsid w:val="74AE4D6A"/>
    <w:rsid w:val="74B91421"/>
    <w:rsid w:val="74B97B82"/>
    <w:rsid w:val="74BA9167"/>
    <w:rsid w:val="74BC07E9"/>
    <w:rsid w:val="74D9ABB9"/>
    <w:rsid w:val="74DC0084"/>
    <w:rsid w:val="74DC7B5E"/>
    <w:rsid w:val="74DD5305"/>
    <w:rsid w:val="74E5F396"/>
    <w:rsid w:val="74E8BC41"/>
    <w:rsid w:val="74EC80CA"/>
    <w:rsid w:val="74FBA6B4"/>
    <w:rsid w:val="74FEEB70"/>
    <w:rsid w:val="7501C7CF"/>
    <w:rsid w:val="750C94C9"/>
    <w:rsid w:val="751644DE"/>
    <w:rsid w:val="7524D701"/>
    <w:rsid w:val="75349616"/>
    <w:rsid w:val="7539C5BD"/>
    <w:rsid w:val="7540DD06"/>
    <w:rsid w:val="7545CDB7"/>
    <w:rsid w:val="7546093A"/>
    <w:rsid w:val="754F3ADC"/>
    <w:rsid w:val="75562ED4"/>
    <w:rsid w:val="756270AB"/>
    <w:rsid w:val="757CBBAC"/>
    <w:rsid w:val="758119DA"/>
    <w:rsid w:val="7583D4A8"/>
    <w:rsid w:val="75854022"/>
    <w:rsid w:val="758AEE62"/>
    <w:rsid w:val="75B166D0"/>
    <w:rsid w:val="75C1C4DF"/>
    <w:rsid w:val="75C9EE1D"/>
    <w:rsid w:val="75D077AF"/>
    <w:rsid w:val="75D4C78F"/>
    <w:rsid w:val="75DCE210"/>
    <w:rsid w:val="75E962E4"/>
    <w:rsid w:val="75FAEE78"/>
    <w:rsid w:val="7607BC14"/>
    <w:rsid w:val="760BB5A6"/>
    <w:rsid w:val="7619E9D9"/>
    <w:rsid w:val="762501F1"/>
    <w:rsid w:val="7627D4BD"/>
    <w:rsid w:val="762A1F28"/>
    <w:rsid w:val="7634C879"/>
    <w:rsid w:val="76366B3A"/>
    <w:rsid w:val="763CA6AA"/>
    <w:rsid w:val="763EB18E"/>
    <w:rsid w:val="763ED745"/>
    <w:rsid w:val="7643ABAD"/>
    <w:rsid w:val="7658B96E"/>
    <w:rsid w:val="765CA779"/>
    <w:rsid w:val="7668BE89"/>
    <w:rsid w:val="766F2A97"/>
    <w:rsid w:val="76757199"/>
    <w:rsid w:val="7676FB1E"/>
    <w:rsid w:val="7679972B"/>
    <w:rsid w:val="767A435A"/>
    <w:rsid w:val="767C57D9"/>
    <w:rsid w:val="767E161F"/>
    <w:rsid w:val="767E1DA8"/>
    <w:rsid w:val="768034A5"/>
    <w:rsid w:val="7680CF03"/>
    <w:rsid w:val="7685B1FE"/>
    <w:rsid w:val="7688A7E7"/>
    <w:rsid w:val="7697932C"/>
    <w:rsid w:val="7698EC71"/>
    <w:rsid w:val="769FD20D"/>
    <w:rsid w:val="76C03B8B"/>
    <w:rsid w:val="76C29800"/>
    <w:rsid w:val="76E1D3FE"/>
    <w:rsid w:val="76F06C89"/>
    <w:rsid w:val="76F9107E"/>
    <w:rsid w:val="7710A7FB"/>
    <w:rsid w:val="7717CB4F"/>
    <w:rsid w:val="771917F3"/>
    <w:rsid w:val="7722A698"/>
    <w:rsid w:val="772D861E"/>
    <w:rsid w:val="77306747"/>
    <w:rsid w:val="77345A0E"/>
    <w:rsid w:val="773F32BF"/>
    <w:rsid w:val="773FAFD8"/>
    <w:rsid w:val="7744C5FD"/>
    <w:rsid w:val="77484C57"/>
    <w:rsid w:val="774A45D9"/>
    <w:rsid w:val="7750F227"/>
    <w:rsid w:val="77535289"/>
    <w:rsid w:val="775A1EC0"/>
    <w:rsid w:val="776F34BF"/>
    <w:rsid w:val="7773C775"/>
    <w:rsid w:val="77800B07"/>
    <w:rsid w:val="77874067"/>
    <w:rsid w:val="778A8ADD"/>
    <w:rsid w:val="778E1022"/>
    <w:rsid w:val="77AFC55F"/>
    <w:rsid w:val="77B5BA3A"/>
    <w:rsid w:val="77BA6402"/>
    <w:rsid w:val="77CE43FE"/>
    <w:rsid w:val="77D5F2C3"/>
    <w:rsid w:val="77D7B7DF"/>
    <w:rsid w:val="77F4C334"/>
    <w:rsid w:val="77F725A5"/>
    <w:rsid w:val="77F8AFCB"/>
    <w:rsid w:val="78033AF7"/>
    <w:rsid w:val="780A7EA6"/>
    <w:rsid w:val="780C5E0C"/>
    <w:rsid w:val="7810EE14"/>
    <w:rsid w:val="7813BB0F"/>
    <w:rsid w:val="781DA9F2"/>
    <w:rsid w:val="7824D89A"/>
    <w:rsid w:val="7825F52D"/>
    <w:rsid w:val="78376BE9"/>
    <w:rsid w:val="783D25A7"/>
    <w:rsid w:val="7842B1A0"/>
    <w:rsid w:val="784C3397"/>
    <w:rsid w:val="784E4A30"/>
    <w:rsid w:val="78563A45"/>
    <w:rsid w:val="785B10A2"/>
    <w:rsid w:val="785E5B54"/>
    <w:rsid w:val="787254AB"/>
    <w:rsid w:val="787754DF"/>
    <w:rsid w:val="78869D87"/>
    <w:rsid w:val="788DD5C5"/>
    <w:rsid w:val="788F114B"/>
    <w:rsid w:val="7890170E"/>
    <w:rsid w:val="78A51CE3"/>
    <w:rsid w:val="78AB1E30"/>
    <w:rsid w:val="78AF1851"/>
    <w:rsid w:val="78DFAE04"/>
    <w:rsid w:val="78E258A3"/>
    <w:rsid w:val="78E772AF"/>
    <w:rsid w:val="78EA3D9E"/>
    <w:rsid w:val="78EE8824"/>
    <w:rsid w:val="78F48336"/>
    <w:rsid w:val="78F59F37"/>
    <w:rsid w:val="78F6B294"/>
    <w:rsid w:val="78FA3123"/>
    <w:rsid w:val="7901EB05"/>
    <w:rsid w:val="790AB941"/>
    <w:rsid w:val="790D42F7"/>
    <w:rsid w:val="790DB64D"/>
    <w:rsid w:val="792EAA27"/>
    <w:rsid w:val="794D00A9"/>
    <w:rsid w:val="7952A24C"/>
    <w:rsid w:val="7961DBCA"/>
    <w:rsid w:val="796C2EEB"/>
    <w:rsid w:val="79708D6B"/>
    <w:rsid w:val="7971F8F7"/>
    <w:rsid w:val="7986C0A9"/>
    <w:rsid w:val="798E8A22"/>
    <w:rsid w:val="7992C676"/>
    <w:rsid w:val="79A3370C"/>
    <w:rsid w:val="79A53F70"/>
    <w:rsid w:val="79B160B5"/>
    <w:rsid w:val="79B62F0B"/>
    <w:rsid w:val="79CAE0DE"/>
    <w:rsid w:val="79CB915A"/>
    <w:rsid w:val="79D66538"/>
    <w:rsid w:val="79D817EB"/>
    <w:rsid w:val="79DBB8F9"/>
    <w:rsid w:val="79E30635"/>
    <w:rsid w:val="79EC508D"/>
    <w:rsid w:val="79EE1AD4"/>
    <w:rsid w:val="79EEE45E"/>
    <w:rsid w:val="79F85BC4"/>
    <w:rsid w:val="79FDFFE8"/>
    <w:rsid w:val="7A0B99DA"/>
    <w:rsid w:val="7A1EB257"/>
    <w:rsid w:val="7A33058D"/>
    <w:rsid w:val="7A3BDAFF"/>
    <w:rsid w:val="7A45B950"/>
    <w:rsid w:val="7A4EBA94"/>
    <w:rsid w:val="7A58ED05"/>
    <w:rsid w:val="7A5CB9A0"/>
    <w:rsid w:val="7A63C72D"/>
    <w:rsid w:val="7A68F654"/>
    <w:rsid w:val="7A6CC3D4"/>
    <w:rsid w:val="7A76DF38"/>
    <w:rsid w:val="7A84D32E"/>
    <w:rsid w:val="7A877C63"/>
    <w:rsid w:val="7A8E9337"/>
    <w:rsid w:val="7A94E0E7"/>
    <w:rsid w:val="7A9B0F62"/>
    <w:rsid w:val="7AA22A60"/>
    <w:rsid w:val="7AAF9E0A"/>
    <w:rsid w:val="7AB62AF4"/>
    <w:rsid w:val="7ACE20D2"/>
    <w:rsid w:val="7ADC800C"/>
    <w:rsid w:val="7AE703CB"/>
    <w:rsid w:val="7AE75BEE"/>
    <w:rsid w:val="7AEDCDBE"/>
    <w:rsid w:val="7AF80CB3"/>
    <w:rsid w:val="7B1D781E"/>
    <w:rsid w:val="7B20C9F2"/>
    <w:rsid w:val="7B2788B3"/>
    <w:rsid w:val="7B2EECE8"/>
    <w:rsid w:val="7B33E741"/>
    <w:rsid w:val="7B3EB84F"/>
    <w:rsid w:val="7B40196F"/>
    <w:rsid w:val="7B450ECA"/>
    <w:rsid w:val="7B5255C5"/>
    <w:rsid w:val="7B5401E5"/>
    <w:rsid w:val="7B55BC00"/>
    <w:rsid w:val="7B595BAC"/>
    <w:rsid w:val="7B62F706"/>
    <w:rsid w:val="7B6DB0A3"/>
    <w:rsid w:val="7B74BF52"/>
    <w:rsid w:val="7B7A3A68"/>
    <w:rsid w:val="7B7F04BB"/>
    <w:rsid w:val="7B80076B"/>
    <w:rsid w:val="7BA1AD05"/>
    <w:rsid w:val="7BA60889"/>
    <w:rsid w:val="7BA6133C"/>
    <w:rsid w:val="7BADD603"/>
    <w:rsid w:val="7BBA0427"/>
    <w:rsid w:val="7BD18A00"/>
    <w:rsid w:val="7BDC0293"/>
    <w:rsid w:val="7BDDDBF7"/>
    <w:rsid w:val="7BEEBF09"/>
    <w:rsid w:val="7C0B9D52"/>
    <w:rsid w:val="7C20362A"/>
    <w:rsid w:val="7C204296"/>
    <w:rsid w:val="7C233654"/>
    <w:rsid w:val="7C35599E"/>
    <w:rsid w:val="7C3DFAC1"/>
    <w:rsid w:val="7C41F5D5"/>
    <w:rsid w:val="7C435BD9"/>
    <w:rsid w:val="7C504CF8"/>
    <w:rsid w:val="7C55430E"/>
    <w:rsid w:val="7C580671"/>
    <w:rsid w:val="7C69E92A"/>
    <w:rsid w:val="7C806706"/>
    <w:rsid w:val="7C8A52E8"/>
    <w:rsid w:val="7C911961"/>
    <w:rsid w:val="7C991EF4"/>
    <w:rsid w:val="7CA929DF"/>
    <w:rsid w:val="7CAC8AE2"/>
    <w:rsid w:val="7CB736D4"/>
    <w:rsid w:val="7CB78A8F"/>
    <w:rsid w:val="7CBDFF28"/>
    <w:rsid w:val="7CC23D55"/>
    <w:rsid w:val="7CD1E4E7"/>
    <w:rsid w:val="7CD58094"/>
    <w:rsid w:val="7CD82652"/>
    <w:rsid w:val="7CDB4291"/>
    <w:rsid w:val="7CE9A7EA"/>
    <w:rsid w:val="7CEAC73A"/>
    <w:rsid w:val="7CED4571"/>
    <w:rsid w:val="7CF5DF9F"/>
    <w:rsid w:val="7CF64F11"/>
    <w:rsid w:val="7D19E11E"/>
    <w:rsid w:val="7D1F0179"/>
    <w:rsid w:val="7D1F1F24"/>
    <w:rsid w:val="7D2160AC"/>
    <w:rsid w:val="7D21F0F5"/>
    <w:rsid w:val="7D25BB96"/>
    <w:rsid w:val="7D263A3B"/>
    <w:rsid w:val="7D29F091"/>
    <w:rsid w:val="7D3AA00E"/>
    <w:rsid w:val="7D3F4A09"/>
    <w:rsid w:val="7D44D369"/>
    <w:rsid w:val="7D552D5C"/>
    <w:rsid w:val="7D55DA89"/>
    <w:rsid w:val="7D58B41D"/>
    <w:rsid w:val="7D5D1C0C"/>
    <w:rsid w:val="7D700F1F"/>
    <w:rsid w:val="7D76267D"/>
    <w:rsid w:val="7D77F04F"/>
    <w:rsid w:val="7D7987A6"/>
    <w:rsid w:val="7D7C9ABC"/>
    <w:rsid w:val="7D851A34"/>
    <w:rsid w:val="7D95F634"/>
    <w:rsid w:val="7D97D2AA"/>
    <w:rsid w:val="7DA13B5A"/>
    <w:rsid w:val="7DB8EB2B"/>
    <w:rsid w:val="7DBF22B8"/>
    <w:rsid w:val="7DBF5EB2"/>
    <w:rsid w:val="7DC71127"/>
    <w:rsid w:val="7DCE1AA9"/>
    <w:rsid w:val="7DD32FF5"/>
    <w:rsid w:val="7DE0059E"/>
    <w:rsid w:val="7DFBEF11"/>
    <w:rsid w:val="7E09F775"/>
    <w:rsid w:val="7E101C42"/>
    <w:rsid w:val="7E1557D6"/>
    <w:rsid w:val="7E23F507"/>
    <w:rsid w:val="7E2E85AE"/>
    <w:rsid w:val="7E2EC35F"/>
    <w:rsid w:val="7E324DCF"/>
    <w:rsid w:val="7E379B32"/>
    <w:rsid w:val="7E4576AA"/>
    <w:rsid w:val="7E45B184"/>
    <w:rsid w:val="7E481512"/>
    <w:rsid w:val="7E48536F"/>
    <w:rsid w:val="7E4FAC06"/>
    <w:rsid w:val="7E50E627"/>
    <w:rsid w:val="7E612D40"/>
    <w:rsid w:val="7E64CEC9"/>
    <w:rsid w:val="7E7F6280"/>
    <w:rsid w:val="7E888DF3"/>
    <w:rsid w:val="7E96F657"/>
    <w:rsid w:val="7E997452"/>
    <w:rsid w:val="7E9D9997"/>
    <w:rsid w:val="7EA4C8DE"/>
    <w:rsid w:val="7EB125ED"/>
    <w:rsid w:val="7EB9E869"/>
    <w:rsid w:val="7EC7E8E7"/>
    <w:rsid w:val="7EC88684"/>
    <w:rsid w:val="7ECC840E"/>
    <w:rsid w:val="7ECDCA5C"/>
    <w:rsid w:val="7ECF4294"/>
    <w:rsid w:val="7ED1AF3D"/>
    <w:rsid w:val="7ED3B86C"/>
    <w:rsid w:val="7EDA247A"/>
    <w:rsid w:val="7EDBE05D"/>
    <w:rsid w:val="7EDCA7AF"/>
    <w:rsid w:val="7EDE6804"/>
    <w:rsid w:val="7EE4A6DB"/>
    <w:rsid w:val="7EE76D02"/>
    <w:rsid w:val="7EE9F925"/>
    <w:rsid w:val="7EF46099"/>
    <w:rsid w:val="7EFB7A86"/>
    <w:rsid w:val="7F08C568"/>
    <w:rsid w:val="7F2C480C"/>
    <w:rsid w:val="7F2E1F7F"/>
    <w:rsid w:val="7F3D37A5"/>
    <w:rsid w:val="7F5196BA"/>
    <w:rsid w:val="7F5E9620"/>
    <w:rsid w:val="7F615F59"/>
    <w:rsid w:val="7F634C3E"/>
    <w:rsid w:val="7F636940"/>
    <w:rsid w:val="7F65A523"/>
    <w:rsid w:val="7F6F80FD"/>
    <w:rsid w:val="7F7724DF"/>
    <w:rsid w:val="7F7B7778"/>
    <w:rsid w:val="7F88FC9F"/>
    <w:rsid w:val="7F8E67B9"/>
    <w:rsid w:val="7F99EAEF"/>
    <w:rsid w:val="7F9A67E4"/>
    <w:rsid w:val="7FA09F62"/>
    <w:rsid w:val="7FAA7F48"/>
    <w:rsid w:val="7FB7CE39"/>
    <w:rsid w:val="7FB96382"/>
    <w:rsid w:val="7FC2A085"/>
    <w:rsid w:val="7FC54D99"/>
    <w:rsid w:val="7FC74A49"/>
    <w:rsid w:val="7FD0A763"/>
    <w:rsid w:val="7FD7A969"/>
    <w:rsid w:val="7FFB48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9462D"/>
  <w15:docId w15:val="{A33A48FD-497A-4E48-8C58-5693E09B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503"/>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bCs/>
      <w:sz w:val="20"/>
      <w:szCs w:val="20"/>
    </w:rPr>
  </w:style>
  <w:style w:type="character" w:styleId="PageNumber">
    <w:name w:val="page number"/>
    <w:basedOn w:val="DefaultParagraphFont"/>
  </w:style>
  <w:style w:type="character" w:styleId="Hyperlink">
    <w:name w:val="Hyperlink"/>
    <w:rsid w:val="00713675"/>
    <w:rPr>
      <w:color w:val="0000FF"/>
      <w:u w:val="single"/>
    </w:rPr>
  </w:style>
  <w:style w:type="table" w:styleId="TableGrid">
    <w:name w:val="Table Grid"/>
    <w:basedOn w:val="TableNormal"/>
    <w:uiPriority w:val="39"/>
    <w:rsid w:val="0051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6001D"/>
    <w:pPr>
      <w:spacing w:after="120" w:line="480" w:lineRule="auto"/>
    </w:pPr>
    <w:rPr>
      <w:sz w:val="22"/>
    </w:rPr>
  </w:style>
  <w:style w:type="paragraph" w:customStyle="1" w:styleId="StyleBodyTextBoldItalicBlue">
    <w:name w:val="Style Body Text + Bold Italic Blue"/>
    <w:basedOn w:val="Normal"/>
    <w:link w:val="StyleBodyTextBoldItalicBlueChar"/>
    <w:rsid w:val="0029333C"/>
    <w:pPr>
      <w:widowControl w:val="0"/>
      <w:spacing w:line="240" w:lineRule="atLeast"/>
    </w:pPr>
    <w:rPr>
      <w:rFonts w:eastAsia="Times"/>
      <w:b/>
      <w:bCs/>
      <w:i/>
      <w:iCs/>
      <w:color w:val="0000FF"/>
      <w:sz w:val="20"/>
      <w:szCs w:val="20"/>
      <w:lang w:eastAsia="en-GB"/>
    </w:rPr>
  </w:style>
  <w:style w:type="character" w:customStyle="1" w:styleId="StyleBodyTextBoldItalicBlueChar">
    <w:name w:val="Style Body Text + Bold Italic Blue Char"/>
    <w:link w:val="StyleBodyTextBoldItalicBlue"/>
    <w:rsid w:val="0029333C"/>
    <w:rPr>
      <w:rFonts w:ascii="Arial" w:eastAsia="Times" w:hAnsi="Arial"/>
      <w:b/>
      <w:bCs/>
      <w:i/>
      <w:iCs/>
      <w:color w:val="0000FF"/>
      <w:lang w:val="en-GB" w:eastAsia="en-GB" w:bidi="ar-SA"/>
    </w:rPr>
  </w:style>
  <w:style w:type="paragraph" w:customStyle="1" w:styleId="arial">
    <w:name w:val="arial"/>
    <w:aliases w:val="12"/>
    <w:basedOn w:val="Normal"/>
    <w:rsid w:val="00A82382"/>
    <w:rPr>
      <w:rFonts w:ascii="Calibri" w:hAnsi="Calibri"/>
      <w:sz w:val="20"/>
      <w:szCs w:val="20"/>
    </w:rPr>
  </w:style>
  <w:style w:type="paragraph" w:styleId="FootnoteText">
    <w:name w:val="footnote text"/>
    <w:basedOn w:val="Normal"/>
    <w:semiHidden/>
    <w:rsid w:val="00A82382"/>
    <w:rPr>
      <w:sz w:val="20"/>
      <w:szCs w:val="20"/>
    </w:rPr>
  </w:style>
  <w:style w:type="character" w:styleId="FootnoteReference">
    <w:name w:val="footnote reference"/>
    <w:semiHidden/>
    <w:rsid w:val="00A82382"/>
    <w:rPr>
      <w:vertAlign w:val="superscript"/>
    </w:rPr>
  </w:style>
  <w:style w:type="paragraph" w:styleId="BodyTextIndent">
    <w:name w:val="Body Text Indent"/>
    <w:basedOn w:val="Normal"/>
    <w:rsid w:val="00227495"/>
    <w:pPr>
      <w:spacing w:after="120"/>
      <w:ind w:left="283"/>
    </w:pPr>
  </w:style>
  <w:style w:type="paragraph" w:customStyle="1" w:styleId="Default">
    <w:name w:val="Default"/>
    <w:rsid w:val="007C30F5"/>
    <w:pPr>
      <w:autoSpaceDE w:val="0"/>
      <w:autoSpaceDN w:val="0"/>
      <w:adjustRightInd w:val="0"/>
    </w:pPr>
    <w:rPr>
      <w:rFonts w:ascii="Arial" w:hAnsi="Arial" w:cs="Arial"/>
      <w:color w:val="000000"/>
      <w:sz w:val="24"/>
      <w:szCs w:val="24"/>
      <w:lang w:val="en-US" w:eastAsia="en-US"/>
    </w:rPr>
  </w:style>
  <w:style w:type="paragraph" w:customStyle="1" w:styleId="Pa12">
    <w:name w:val="Pa12"/>
    <w:basedOn w:val="Default"/>
    <w:next w:val="Default"/>
    <w:rsid w:val="00B6386C"/>
    <w:pPr>
      <w:spacing w:line="221" w:lineRule="atLeast"/>
    </w:pPr>
    <w:rPr>
      <w:rFonts w:ascii="FS Me" w:hAnsi="FS Me" w:cs="Times New Roman"/>
      <w:color w:val="auto"/>
      <w:lang w:val="en-GB" w:eastAsia="en-GB"/>
    </w:rPr>
  </w:style>
  <w:style w:type="character" w:customStyle="1" w:styleId="A5">
    <w:name w:val="A5"/>
    <w:rsid w:val="00B6386C"/>
    <w:rPr>
      <w:rFonts w:cs="FS Me"/>
      <w:color w:val="000000"/>
      <w:sz w:val="22"/>
      <w:szCs w:val="22"/>
    </w:rPr>
  </w:style>
  <w:style w:type="character" w:styleId="Emphasis">
    <w:name w:val="Emphasis"/>
    <w:qFormat/>
    <w:rsid w:val="00641E2E"/>
    <w:rPr>
      <w:i/>
      <w:iCs/>
    </w:rPr>
  </w:style>
  <w:style w:type="table" w:customStyle="1" w:styleId="TableGrid1">
    <w:name w:val="Table Grid1"/>
    <w:basedOn w:val="TableNormal"/>
    <w:next w:val="TableGrid"/>
    <w:uiPriority w:val="59"/>
    <w:rsid w:val="008163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S List Paragraph,F5 List Paragraph,List Paragraph1,List Paragraph11,Numbered Para 1,Dot pt,No Spacing1,List Paragraph Char Char Char,Indicator Text,Bullet Points,MAIN CONTENT,List Paragraph12,Bullets,Lettre d'introduction,Bullet 1"/>
    <w:basedOn w:val="Normal"/>
    <w:link w:val="ListParagraphChar"/>
    <w:uiPriority w:val="34"/>
    <w:qFormat/>
    <w:rsid w:val="0032421C"/>
    <w:pPr>
      <w:ind w:left="720"/>
    </w:pPr>
  </w:style>
  <w:style w:type="paragraph" w:styleId="BodyText">
    <w:name w:val="Body Text"/>
    <w:basedOn w:val="Normal"/>
    <w:link w:val="BodyTextChar"/>
    <w:rsid w:val="00200E6E"/>
    <w:pPr>
      <w:spacing w:after="120"/>
    </w:pPr>
  </w:style>
  <w:style w:type="character" w:customStyle="1" w:styleId="BodyTextChar">
    <w:name w:val="Body Text Char"/>
    <w:link w:val="BodyText"/>
    <w:rsid w:val="00200E6E"/>
    <w:rPr>
      <w:rFonts w:ascii="Arial" w:hAnsi="Arial"/>
      <w:sz w:val="24"/>
      <w:szCs w:val="24"/>
      <w:lang w:eastAsia="en-US"/>
    </w:rPr>
  </w:style>
  <w:style w:type="paragraph" w:customStyle="1" w:styleId="ReportNumbering">
    <w:name w:val="Report Numbering"/>
    <w:basedOn w:val="Normal"/>
    <w:rsid w:val="00E547AA"/>
    <w:pPr>
      <w:numPr>
        <w:numId w:val="3"/>
      </w:numPr>
      <w:spacing w:after="240"/>
    </w:pPr>
    <w:rPr>
      <w:szCs w:val="20"/>
    </w:rPr>
  </w:style>
  <w:style w:type="table" w:customStyle="1" w:styleId="TableGrid2">
    <w:name w:val="Table Grid2"/>
    <w:basedOn w:val="TableNormal"/>
    <w:next w:val="TableGrid"/>
    <w:uiPriority w:val="59"/>
    <w:rsid w:val="006D6F73"/>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1718B"/>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F525A"/>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77A29"/>
    <w:rPr>
      <w:b/>
      <w:bCs/>
    </w:rPr>
  </w:style>
  <w:style w:type="character" w:customStyle="1" w:styleId="CommentTextChar">
    <w:name w:val="Comment Text Char"/>
    <w:link w:val="CommentText"/>
    <w:rsid w:val="006A5A42"/>
    <w:rPr>
      <w:rFonts w:ascii="Arial" w:hAnsi="Arial"/>
      <w:lang w:eastAsia="en-US"/>
    </w:rPr>
  </w:style>
  <w:style w:type="paragraph" w:customStyle="1" w:styleId="mol-para-with-font">
    <w:name w:val="mol-para-with-font"/>
    <w:basedOn w:val="Normal"/>
    <w:rsid w:val="00FF55DA"/>
    <w:pPr>
      <w:spacing w:before="100" w:beforeAutospacing="1" w:after="100" w:afterAutospacing="1"/>
    </w:pPr>
    <w:rPr>
      <w:rFonts w:ascii="Times New Roman" w:hAnsi="Times New Roman"/>
      <w:lang w:eastAsia="en-GB"/>
    </w:rPr>
  </w:style>
  <w:style w:type="paragraph" w:customStyle="1" w:styleId="ReportPara">
    <w:name w:val="Report Para"/>
    <w:basedOn w:val="Normal"/>
    <w:rsid w:val="001C162F"/>
    <w:pPr>
      <w:numPr>
        <w:ilvl w:val="1"/>
        <w:numId w:val="6"/>
      </w:numPr>
      <w:spacing w:after="120"/>
    </w:pPr>
    <w:rPr>
      <w:rFonts w:ascii="Gill Sans MT" w:hAnsi="Gill Sans MT"/>
      <w:szCs w:val="20"/>
      <w:lang w:eastAsia="en-GB"/>
    </w:rPr>
  </w:style>
  <w:style w:type="character" w:customStyle="1" w:styleId="ilfuvd">
    <w:name w:val="ilfuvd"/>
    <w:basedOn w:val="DefaultParagraphFont"/>
    <w:rsid w:val="00F35A62"/>
  </w:style>
  <w:style w:type="character" w:customStyle="1" w:styleId="qna-result-writtenstatement-ministerrole">
    <w:name w:val="qna-result-writtenstatement-ministerrole"/>
    <w:basedOn w:val="DefaultParagraphFont"/>
    <w:rsid w:val="00686271"/>
  </w:style>
  <w:style w:type="character" w:customStyle="1" w:styleId="abodyChar">
    <w:name w:val="a body Char"/>
    <w:link w:val="abody"/>
    <w:locked/>
    <w:rsid w:val="00D81FF0"/>
    <w:rPr>
      <w:rFonts w:ascii="Arial" w:hAnsi="Arial" w:cs="Arial"/>
      <w:color w:val="323232"/>
      <w:sz w:val="22"/>
      <w:szCs w:val="28"/>
      <w:lang w:val="x-none" w:eastAsia="en-US"/>
    </w:rPr>
  </w:style>
  <w:style w:type="paragraph" w:customStyle="1" w:styleId="abody">
    <w:name w:val="a body"/>
    <w:basedOn w:val="Normal"/>
    <w:link w:val="abodyChar"/>
    <w:qFormat/>
    <w:rsid w:val="00D81FF0"/>
    <w:pPr>
      <w:numPr>
        <w:ilvl w:val="1"/>
        <w:numId w:val="7"/>
      </w:numPr>
      <w:spacing w:before="120" w:after="240" w:line="300" w:lineRule="exact"/>
      <w:ind w:left="1134" w:hanging="1134"/>
      <w:jc w:val="both"/>
    </w:pPr>
    <w:rPr>
      <w:rFonts w:cs="Arial"/>
      <w:color w:val="323232"/>
      <w:sz w:val="22"/>
      <w:szCs w:val="28"/>
      <w:lang w:val="x-none"/>
    </w:rPr>
  </w:style>
  <w:style w:type="paragraph" w:customStyle="1" w:styleId="Level2">
    <w:name w:val="Level 2"/>
    <w:basedOn w:val="Heading2"/>
    <w:rsid w:val="00DD2533"/>
    <w:pPr>
      <w:keepLines/>
      <w:numPr>
        <w:ilvl w:val="1"/>
        <w:numId w:val="8"/>
      </w:numPr>
      <w:spacing w:before="200" w:after="200" w:line="300" w:lineRule="exact"/>
    </w:pPr>
    <w:rPr>
      <w:b w:val="0"/>
      <w:bCs w:val="0"/>
      <w:color w:val="323232"/>
      <w:sz w:val="22"/>
      <w:szCs w:val="28"/>
      <w:u w:val="none"/>
    </w:rPr>
  </w:style>
  <w:style w:type="paragraph" w:customStyle="1" w:styleId="Level1">
    <w:name w:val="Level 1"/>
    <w:basedOn w:val="Heading1"/>
    <w:next w:val="Level2"/>
    <w:rsid w:val="00DD2533"/>
    <w:pPr>
      <w:numPr>
        <w:numId w:val="8"/>
      </w:numPr>
      <w:tabs>
        <w:tab w:val="clear" w:pos="1341"/>
        <w:tab w:val="num" w:pos="360"/>
      </w:tabs>
      <w:suppressAutoHyphens/>
      <w:spacing w:before="400" w:line="300" w:lineRule="exact"/>
      <w:ind w:left="0" w:firstLine="0"/>
      <w:jc w:val="both"/>
    </w:pPr>
    <w:rPr>
      <w:b w:val="0"/>
      <w:bCs w:val="0"/>
      <w:color w:val="0074E1"/>
      <w:kern w:val="32"/>
      <w:sz w:val="30"/>
      <w:szCs w:val="32"/>
      <w:lang w:val="x-none"/>
    </w:rPr>
  </w:style>
  <w:style w:type="character" w:customStyle="1" w:styleId="Style1Char">
    <w:name w:val="Style1 Char"/>
    <w:basedOn w:val="DefaultParagraphFont"/>
    <w:link w:val="Style1"/>
    <w:locked/>
    <w:rsid w:val="00DD2533"/>
    <w:rPr>
      <w:rFonts w:ascii="Arial" w:hAnsi="Arial" w:cs="Arial"/>
      <w:color w:val="323232"/>
      <w:sz w:val="22"/>
      <w:szCs w:val="28"/>
      <w:lang w:eastAsia="en-US"/>
    </w:rPr>
  </w:style>
  <w:style w:type="paragraph" w:customStyle="1" w:styleId="Style1">
    <w:name w:val="Style1"/>
    <w:basedOn w:val="Level2"/>
    <w:link w:val="Style1Char"/>
    <w:qFormat/>
    <w:rsid w:val="00DD2533"/>
    <w:pPr>
      <w:ind w:left="1134" w:hanging="1134"/>
      <w:jc w:val="both"/>
    </w:pPr>
    <w:rPr>
      <w:rFonts w:cs="Arial"/>
    </w:rPr>
  </w:style>
  <w:style w:type="character" w:customStyle="1" w:styleId="NoSpacingChar">
    <w:name w:val="No Spacing Char"/>
    <w:basedOn w:val="DefaultParagraphFont"/>
    <w:link w:val="NoSpacing"/>
    <w:uiPriority w:val="1"/>
    <w:locked/>
    <w:rsid w:val="00637919"/>
  </w:style>
  <w:style w:type="paragraph" w:styleId="NoSpacing">
    <w:name w:val="No Spacing"/>
    <w:basedOn w:val="Normal"/>
    <w:link w:val="NoSpacingChar"/>
    <w:uiPriority w:val="1"/>
    <w:qFormat/>
    <w:rsid w:val="00637919"/>
    <w:rPr>
      <w:rFonts w:ascii="Times New Roman" w:hAnsi="Times New Roman"/>
      <w:sz w:val="20"/>
      <w:szCs w:val="20"/>
      <w:lang w:eastAsia="en-GB"/>
    </w:rPr>
  </w:style>
  <w:style w:type="character" w:customStyle="1" w:styleId="ListParagraphChar">
    <w:name w:val="List Paragraph Char"/>
    <w:aliases w:val="cS List Paragraph Char,F5 List Paragraph Char,List Paragraph1 Char,List Paragraph11 Char,Numbered Para 1 Char,Dot pt Char,No Spacing1 Char,List Paragraph Char Char Char Char,Indicator Text Char,Bullet Points Char,MAIN CONTENT Char"/>
    <w:basedOn w:val="DefaultParagraphFont"/>
    <w:link w:val="ListParagraph"/>
    <w:uiPriority w:val="34"/>
    <w:locked/>
    <w:rsid w:val="00637919"/>
    <w:rPr>
      <w:rFonts w:ascii="Arial" w:hAnsi="Arial"/>
      <w:sz w:val="24"/>
      <w:szCs w:val="24"/>
      <w:lang w:eastAsia="en-US"/>
    </w:rPr>
  </w:style>
  <w:style w:type="paragraph" w:customStyle="1" w:styleId="TableParagraph">
    <w:name w:val="Table Paragraph"/>
    <w:basedOn w:val="Normal"/>
    <w:uiPriority w:val="1"/>
    <w:qFormat/>
    <w:rsid w:val="005C6A9A"/>
    <w:pPr>
      <w:widowControl w:val="0"/>
      <w:autoSpaceDE w:val="0"/>
      <w:autoSpaceDN w:val="0"/>
      <w:jc w:val="right"/>
    </w:pPr>
    <w:rPr>
      <w:rFonts w:eastAsia="Arial" w:cs="Arial"/>
      <w:sz w:val="22"/>
      <w:szCs w:val="22"/>
      <w:lang w:val="en-US"/>
    </w:rPr>
  </w:style>
  <w:style w:type="character" w:customStyle="1" w:styleId="hgkelc">
    <w:name w:val="hgkelc"/>
    <w:basedOn w:val="DefaultParagraphFont"/>
    <w:rsid w:val="003E576F"/>
  </w:style>
  <w:style w:type="paragraph" w:customStyle="1" w:styleId="Style4">
    <w:name w:val="Style4"/>
    <w:basedOn w:val="abody"/>
    <w:link w:val="Style4Char"/>
    <w:qFormat/>
    <w:rsid w:val="00DE283D"/>
    <w:pPr>
      <w:numPr>
        <w:ilvl w:val="0"/>
        <w:numId w:val="20"/>
      </w:numPr>
      <w:ind w:left="1559" w:hanging="425"/>
    </w:pPr>
  </w:style>
  <w:style w:type="character" w:customStyle="1" w:styleId="Style4Char">
    <w:name w:val="Style4 Char"/>
    <w:basedOn w:val="abodyChar"/>
    <w:link w:val="Style4"/>
    <w:rsid w:val="00DE283D"/>
    <w:rPr>
      <w:rFonts w:ascii="Arial" w:hAnsi="Arial" w:cs="Arial"/>
      <w:color w:val="323232"/>
      <w:sz w:val="22"/>
      <w:szCs w:val="28"/>
      <w:lang w:val="x-none" w:eastAsia="en-US"/>
    </w:rPr>
  </w:style>
  <w:style w:type="paragraph" w:customStyle="1" w:styleId="11">
    <w:name w:val="1.1"/>
    <w:basedOn w:val="BodyText"/>
    <w:qFormat/>
    <w:rsid w:val="00B36A83"/>
    <w:pPr>
      <w:numPr>
        <w:numId w:val="21"/>
      </w:numPr>
      <w:tabs>
        <w:tab w:val="clear" w:pos="720"/>
      </w:tabs>
      <w:spacing w:after="220"/>
      <w:ind w:hanging="360"/>
    </w:pPr>
    <w:rPr>
      <w:rFonts w:ascii="Verdana" w:hAnsi="Verdana"/>
      <w:sz w:val="22"/>
      <w:szCs w:val="20"/>
    </w:rPr>
  </w:style>
  <w:style w:type="paragraph" w:customStyle="1" w:styleId="CharChar1CharCharCharCharCharCharChar">
    <w:name w:val="Char Char1 Char Char Char Char Char Char Char"/>
    <w:basedOn w:val="Normal"/>
    <w:rsid w:val="003341CB"/>
    <w:pPr>
      <w:spacing w:after="160" w:line="240" w:lineRule="exact"/>
    </w:pPr>
    <w:rPr>
      <w:rFonts w:ascii="Verdana" w:hAnsi="Verdana"/>
      <w:lang w:val="en-US"/>
    </w:rPr>
  </w:style>
  <w:style w:type="character" w:customStyle="1" w:styleId="normaltextrun">
    <w:name w:val="normaltextrun"/>
    <w:basedOn w:val="DefaultParagraphFont"/>
    <w:rsid w:val="00F94CEC"/>
  </w:style>
  <w:style w:type="character" w:customStyle="1" w:styleId="eop">
    <w:name w:val="eop"/>
    <w:basedOn w:val="DefaultParagraphFont"/>
    <w:rsid w:val="00F94CEC"/>
  </w:style>
  <w:style w:type="paragraph" w:customStyle="1" w:styleId="paragraph">
    <w:name w:val="paragraph"/>
    <w:basedOn w:val="Normal"/>
    <w:rsid w:val="006A45E5"/>
    <w:pPr>
      <w:spacing w:before="100" w:beforeAutospacing="1" w:after="100" w:afterAutospacing="1"/>
    </w:pPr>
    <w:rPr>
      <w:rFonts w:ascii="Times New Roman" w:hAnsi="Times New Roman"/>
      <w:lang w:eastAsia="en-GB"/>
    </w:rPr>
  </w:style>
  <w:style w:type="character" w:customStyle="1" w:styleId="Mention1">
    <w:name w:val="Mention1"/>
    <w:basedOn w:val="DefaultParagraphFont"/>
    <w:uiPriority w:val="99"/>
    <w:unhideWhenUsed/>
    <w:rsid w:val="006A45E5"/>
    <w:rPr>
      <w:color w:val="2B579A"/>
      <w:shd w:val="clear" w:color="auto" w:fill="E1DFDD"/>
    </w:rPr>
  </w:style>
  <w:style w:type="paragraph" w:customStyle="1" w:styleId="xelementtoproof">
    <w:name w:val="x_elementtoproof"/>
    <w:basedOn w:val="Normal"/>
    <w:rsid w:val="007F656D"/>
    <w:pPr>
      <w:spacing w:before="100" w:beforeAutospacing="1" w:after="100" w:afterAutospacing="1"/>
    </w:pPr>
    <w:rPr>
      <w:rFonts w:ascii="Times New Roman" w:hAnsi="Times New Roman"/>
      <w:lang w:eastAsia="en-GB"/>
    </w:rPr>
  </w:style>
  <w:style w:type="paragraph" w:styleId="Revision">
    <w:name w:val="Revision"/>
    <w:hidden/>
    <w:uiPriority w:val="99"/>
    <w:semiHidden/>
    <w:rsid w:val="00792100"/>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6500">
      <w:bodyDiv w:val="1"/>
      <w:marLeft w:val="0"/>
      <w:marRight w:val="0"/>
      <w:marTop w:val="0"/>
      <w:marBottom w:val="0"/>
      <w:divBdr>
        <w:top w:val="none" w:sz="0" w:space="0" w:color="auto"/>
        <w:left w:val="none" w:sz="0" w:space="0" w:color="auto"/>
        <w:bottom w:val="none" w:sz="0" w:space="0" w:color="auto"/>
        <w:right w:val="none" w:sz="0" w:space="0" w:color="auto"/>
      </w:divBdr>
    </w:div>
    <w:div w:id="86998995">
      <w:bodyDiv w:val="1"/>
      <w:marLeft w:val="0"/>
      <w:marRight w:val="0"/>
      <w:marTop w:val="0"/>
      <w:marBottom w:val="0"/>
      <w:divBdr>
        <w:top w:val="none" w:sz="0" w:space="0" w:color="auto"/>
        <w:left w:val="none" w:sz="0" w:space="0" w:color="auto"/>
        <w:bottom w:val="none" w:sz="0" w:space="0" w:color="auto"/>
        <w:right w:val="none" w:sz="0" w:space="0" w:color="auto"/>
      </w:divBdr>
    </w:div>
    <w:div w:id="95103611">
      <w:bodyDiv w:val="1"/>
      <w:marLeft w:val="0"/>
      <w:marRight w:val="0"/>
      <w:marTop w:val="0"/>
      <w:marBottom w:val="0"/>
      <w:divBdr>
        <w:top w:val="none" w:sz="0" w:space="0" w:color="auto"/>
        <w:left w:val="none" w:sz="0" w:space="0" w:color="auto"/>
        <w:bottom w:val="none" w:sz="0" w:space="0" w:color="auto"/>
        <w:right w:val="none" w:sz="0" w:space="0" w:color="auto"/>
      </w:divBdr>
      <w:divsChild>
        <w:div w:id="1933388640">
          <w:marLeft w:val="0"/>
          <w:marRight w:val="0"/>
          <w:marTop w:val="0"/>
          <w:marBottom w:val="0"/>
          <w:divBdr>
            <w:top w:val="none" w:sz="0" w:space="0" w:color="auto"/>
            <w:left w:val="none" w:sz="0" w:space="0" w:color="auto"/>
            <w:bottom w:val="none" w:sz="0" w:space="0" w:color="auto"/>
            <w:right w:val="none" w:sz="0" w:space="0" w:color="auto"/>
          </w:divBdr>
          <w:divsChild>
            <w:div w:id="1329402267">
              <w:marLeft w:val="0"/>
              <w:marRight w:val="0"/>
              <w:marTop w:val="0"/>
              <w:marBottom w:val="0"/>
              <w:divBdr>
                <w:top w:val="none" w:sz="0" w:space="0" w:color="auto"/>
                <w:left w:val="none" w:sz="0" w:space="0" w:color="auto"/>
                <w:bottom w:val="none" w:sz="0" w:space="0" w:color="auto"/>
                <w:right w:val="none" w:sz="0" w:space="0" w:color="auto"/>
              </w:divBdr>
              <w:divsChild>
                <w:div w:id="1448429261">
                  <w:marLeft w:val="0"/>
                  <w:marRight w:val="0"/>
                  <w:marTop w:val="0"/>
                  <w:marBottom w:val="0"/>
                  <w:divBdr>
                    <w:top w:val="none" w:sz="0" w:space="0" w:color="auto"/>
                    <w:left w:val="none" w:sz="0" w:space="0" w:color="auto"/>
                    <w:bottom w:val="none" w:sz="0" w:space="0" w:color="auto"/>
                    <w:right w:val="none" w:sz="0" w:space="0" w:color="auto"/>
                  </w:divBdr>
                  <w:divsChild>
                    <w:div w:id="1324815200">
                      <w:marLeft w:val="0"/>
                      <w:marRight w:val="0"/>
                      <w:marTop w:val="0"/>
                      <w:marBottom w:val="0"/>
                      <w:divBdr>
                        <w:top w:val="none" w:sz="0" w:space="0" w:color="auto"/>
                        <w:left w:val="none" w:sz="0" w:space="0" w:color="auto"/>
                        <w:bottom w:val="none" w:sz="0" w:space="0" w:color="auto"/>
                        <w:right w:val="none" w:sz="0" w:space="0" w:color="auto"/>
                      </w:divBdr>
                      <w:divsChild>
                        <w:div w:id="14146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10823">
      <w:bodyDiv w:val="1"/>
      <w:marLeft w:val="0"/>
      <w:marRight w:val="0"/>
      <w:marTop w:val="0"/>
      <w:marBottom w:val="0"/>
      <w:divBdr>
        <w:top w:val="none" w:sz="0" w:space="0" w:color="auto"/>
        <w:left w:val="none" w:sz="0" w:space="0" w:color="auto"/>
        <w:bottom w:val="none" w:sz="0" w:space="0" w:color="auto"/>
        <w:right w:val="none" w:sz="0" w:space="0" w:color="auto"/>
      </w:divBdr>
    </w:div>
    <w:div w:id="118762775">
      <w:bodyDiv w:val="1"/>
      <w:marLeft w:val="0"/>
      <w:marRight w:val="0"/>
      <w:marTop w:val="0"/>
      <w:marBottom w:val="0"/>
      <w:divBdr>
        <w:top w:val="none" w:sz="0" w:space="0" w:color="auto"/>
        <w:left w:val="none" w:sz="0" w:space="0" w:color="auto"/>
        <w:bottom w:val="none" w:sz="0" w:space="0" w:color="auto"/>
        <w:right w:val="none" w:sz="0" w:space="0" w:color="auto"/>
      </w:divBdr>
    </w:div>
    <w:div w:id="127672931">
      <w:bodyDiv w:val="1"/>
      <w:marLeft w:val="0"/>
      <w:marRight w:val="0"/>
      <w:marTop w:val="0"/>
      <w:marBottom w:val="0"/>
      <w:divBdr>
        <w:top w:val="none" w:sz="0" w:space="0" w:color="auto"/>
        <w:left w:val="none" w:sz="0" w:space="0" w:color="auto"/>
        <w:bottom w:val="none" w:sz="0" w:space="0" w:color="auto"/>
        <w:right w:val="none" w:sz="0" w:space="0" w:color="auto"/>
      </w:divBdr>
    </w:div>
    <w:div w:id="138575556">
      <w:bodyDiv w:val="1"/>
      <w:marLeft w:val="0"/>
      <w:marRight w:val="0"/>
      <w:marTop w:val="0"/>
      <w:marBottom w:val="0"/>
      <w:divBdr>
        <w:top w:val="none" w:sz="0" w:space="0" w:color="auto"/>
        <w:left w:val="none" w:sz="0" w:space="0" w:color="auto"/>
        <w:bottom w:val="none" w:sz="0" w:space="0" w:color="auto"/>
        <w:right w:val="none" w:sz="0" w:space="0" w:color="auto"/>
      </w:divBdr>
    </w:div>
    <w:div w:id="143553421">
      <w:bodyDiv w:val="1"/>
      <w:marLeft w:val="0"/>
      <w:marRight w:val="0"/>
      <w:marTop w:val="0"/>
      <w:marBottom w:val="0"/>
      <w:divBdr>
        <w:top w:val="none" w:sz="0" w:space="0" w:color="auto"/>
        <w:left w:val="none" w:sz="0" w:space="0" w:color="auto"/>
        <w:bottom w:val="none" w:sz="0" w:space="0" w:color="auto"/>
        <w:right w:val="none" w:sz="0" w:space="0" w:color="auto"/>
      </w:divBdr>
    </w:div>
    <w:div w:id="165094992">
      <w:bodyDiv w:val="1"/>
      <w:marLeft w:val="0"/>
      <w:marRight w:val="0"/>
      <w:marTop w:val="0"/>
      <w:marBottom w:val="0"/>
      <w:divBdr>
        <w:top w:val="none" w:sz="0" w:space="0" w:color="auto"/>
        <w:left w:val="none" w:sz="0" w:space="0" w:color="auto"/>
        <w:bottom w:val="none" w:sz="0" w:space="0" w:color="auto"/>
        <w:right w:val="none" w:sz="0" w:space="0" w:color="auto"/>
      </w:divBdr>
      <w:divsChild>
        <w:div w:id="1913735417">
          <w:marLeft w:val="0"/>
          <w:marRight w:val="0"/>
          <w:marTop w:val="100"/>
          <w:marBottom w:val="100"/>
          <w:divBdr>
            <w:top w:val="none" w:sz="0" w:space="0" w:color="auto"/>
            <w:left w:val="none" w:sz="0" w:space="0" w:color="auto"/>
            <w:bottom w:val="none" w:sz="0" w:space="0" w:color="auto"/>
            <w:right w:val="none" w:sz="0" w:space="0" w:color="auto"/>
          </w:divBdr>
          <w:divsChild>
            <w:div w:id="736785629">
              <w:marLeft w:val="0"/>
              <w:marRight w:val="0"/>
              <w:marTop w:val="0"/>
              <w:marBottom w:val="420"/>
              <w:divBdr>
                <w:top w:val="none" w:sz="0" w:space="0" w:color="auto"/>
                <w:left w:val="none" w:sz="0" w:space="0" w:color="auto"/>
                <w:bottom w:val="none" w:sz="0" w:space="0" w:color="auto"/>
                <w:right w:val="none" w:sz="0" w:space="0" w:color="auto"/>
              </w:divBdr>
              <w:divsChild>
                <w:div w:id="1724909226">
                  <w:marLeft w:val="0"/>
                  <w:marRight w:val="0"/>
                  <w:marTop w:val="0"/>
                  <w:marBottom w:val="0"/>
                  <w:divBdr>
                    <w:top w:val="none" w:sz="0" w:space="0" w:color="auto"/>
                    <w:left w:val="none" w:sz="0" w:space="0" w:color="auto"/>
                    <w:bottom w:val="none" w:sz="0" w:space="0" w:color="auto"/>
                    <w:right w:val="none" w:sz="0" w:space="0" w:color="auto"/>
                  </w:divBdr>
                  <w:divsChild>
                    <w:div w:id="43914831">
                      <w:marLeft w:val="0"/>
                      <w:marRight w:val="0"/>
                      <w:marTop w:val="0"/>
                      <w:marBottom w:val="0"/>
                      <w:divBdr>
                        <w:top w:val="none" w:sz="0" w:space="0" w:color="auto"/>
                        <w:left w:val="none" w:sz="0" w:space="0" w:color="auto"/>
                        <w:bottom w:val="none" w:sz="0" w:space="0" w:color="auto"/>
                        <w:right w:val="none" w:sz="0" w:space="0" w:color="auto"/>
                      </w:divBdr>
                      <w:divsChild>
                        <w:div w:id="76636303">
                          <w:marLeft w:val="0"/>
                          <w:marRight w:val="0"/>
                          <w:marTop w:val="0"/>
                          <w:marBottom w:val="0"/>
                          <w:divBdr>
                            <w:top w:val="none" w:sz="0" w:space="0" w:color="auto"/>
                            <w:left w:val="none" w:sz="0" w:space="0" w:color="auto"/>
                            <w:bottom w:val="none" w:sz="0" w:space="0" w:color="auto"/>
                            <w:right w:val="none" w:sz="0" w:space="0" w:color="auto"/>
                          </w:divBdr>
                          <w:divsChild>
                            <w:div w:id="1187406184">
                              <w:marLeft w:val="0"/>
                              <w:marRight w:val="0"/>
                              <w:marTop w:val="0"/>
                              <w:marBottom w:val="0"/>
                              <w:divBdr>
                                <w:top w:val="none" w:sz="0" w:space="0" w:color="auto"/>
                                <w:left w:val="none" w:sz="0" w:space="0" w:color="auto"/>
                                <w:bottom w:val="none" w:sz="0" w:space="0" w:color="auto"/>
                                <w:right w:val="none" w:sz="0" w:space="0" w:color="auto"/>
                              </w:divBdr>
                              <w:divsChild>
                                <w:div w:id="16502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67782">
      <w:bodyDiv w:val="1"/>
      <w:marLeft w:val="0"/>
      <w:marRight w:val="0"/>
      <w:marTop w:val="0"/>
      <w:marBottom w:val="0"/>
      <w:divBdr>
        <w:top w:val="none" w:sz="0" w:space="0" w:color="auto"/>
        <w:left w:val="none" w:sz="0" w:space="0" w:color="auto"/>
        <w:bottom w:val="none" w:sz="0" w:space="0" w:color="auto"/>
        <w:right w:val="none" w:sz="0" w:space="0" w:color="auto"/>
      </w:divBdr>
    </w:div>
    <w:div w:id="180895325">
      <w:bodyDiv w:val="1"/>
      <w:marLeft w:val="0"/>
      <w:marRight w:val="0"/>
      <w:marTop w:val="0"/>
      <w:marBottom w:val="0"/>
      <w:divBdr>
        <w:top w:val="none" w:sz="0" w:space="0" w:color="auto"/>
        <w:left w:val="none" w:sz="0" w:space="0" w:color="auto"/>
        <w:bottom w:val="none" w:sz="0" w:space="0" w:color="auto"/>
        <w:right w:val="none" w:sz="0" w:space="0" w:color="auto"/>
      </w:divBdr>
    </w:div>
    <w:div w:id="181207207">
      <w:bodyDiv w:val="1"/>
      <w:marLeft w:val="0"/>
      <w:marRight w:val="0"/>
      <w:marTop w:val="0"/>
      <w:marBottom w:val="0"/>
      <w:divBdr>
        <w:top w:val="none" w:sz="0" w:space="0" w:color="auto"/>
        <w:left w:val="none" w:sz="0" w:space="0" w:color="auto"/>
        <w:bottom w:val="none" w:sz="0" w:space="0" w:color="auto"/>
        <w:right w:val="none" w:sz="0" w:space="0" w:color="auto"/>
      </w:divBdr>
    </w:div>
    <w:div w:id="199754338">
      <w:bodyDiv w:val="1"/>
      <w:marLeft w:val="0"/>
      <w:marRight w:val="0"/>
      <w:marTop w:val="0"/>
      <w:marBottom w:val="0"/>
      <w:divBdr>
        <w:top w:val="none" w:sz="0" w:space="0" w:color="auto"/>
        <w:left w:val="none" w:sz="0" w:space="0" w:color="auto"/>
        <w:bottom w:val="none" w:sz="0" w:space="0" w:color="auto"/>
        <w:right w:val="none" w:sz="0" w:space="0" w:color="auto"/>
      </w:divBdr>
    </w:div>
    <w:div w:id="215896229">
      <w:bodyDiv w:val="1"/>
      <w:marLeft w:val="0"/>
      <w:marRight w:val="0"/>
      <w:marTop w:val="0"/>
      <w:marBottom w:val="0"/>
      <w:divBdr>
        <w:top w:val="none" w:sz="0" w:space="0" w:color="auto"/>
        <w:left w:val="none" w:sz="0" w:space="0" w:color="auto"/>
        <w:bottom w:val="none" w:sz="0" w:space="0" w:color="auto"/>
        <w:right w:val="none" w:sz="0" w:space="0" w:color="auto"/>
      </w:divBdr>
    </w:div>
    <w:div w:id="219096380">
      <w:bodyDiv w:val="1"/>
      <w:marLeft w:val="0"/>
      <w:marRight w:val="0"/>
      <w:marTop w:val="0"/>
      <w:marBottom w:val="0"/>
      <w:divBdr>
        <w:top w:val="none" w:sz="0" w:space="0" w:color="auto"/>
        <w:left w:val="none" w:sz="0" w:space="0" w:color="auto"/>
        <w:bottom w:val="none" w:sz="0" w:space="0" w:color="auto"/>
        <w:right w:val="none" w:sz="0" w:space="0" w:color="auto"/>
      </w:divBdr>
      <w:divsChild>
        <w:div w:id="612059488">
          <w:marLeft w:val="0"/>
          <w:marRight w:val="0"/>
          <w:marTop w:val="0"/>
          <w:marBottom w:val="0"/>
          <w:divBdr>
            <w:top w:val="none" w:sz="0" w:space="0" w:color="auto"/>
            <w:left w:val="none" w:sz="0" w:space="0" w:color="auto"/>
            <w:bottom w:val="none" w:sz="0" w:space="0" w:color="auto"/>
            <w:right w:val="none" w:sz="0" w:space="0" w:color="auto"/>
          </w:divBdr>
          <w:divsChild>
            <w:div w:id="1546409087">
              <w:marLeft w:val="0"/>
              <w:marRight w:val="0"/>
              <w:marTop w:val="0"/>
              <w:marBottom w:val="0"/>
              <w:divBdr>
                <w:top w:val="none" w:sz="0" w:space="0" w:color="auto"/>
                <w:left w:val="none" w:sz="0" w:space="0" w:color="auto"/>
                <w:bottom w:val="none" w:sz="0" w:space="0" w:color="auto"/>
                <w:right w:val="none" w:sz="0" w:space="0" w:color="auto"/>
              </w:divBdr>
              <w:divsChild>
                <w:div w:id="316422507">
                  <w:marLeft w:val="0"/>
                  <w:marRight w:val="0"/>
                  <w:marTop w:val="0"/>
                  <w:marBottom w:val="0"/>
                  <w:divBdr>
                    <w:top w:val="none" w:sz="0" w:space="0" w:color="auto"/>
                    <w:left w:val="none" w:sz="0" w:space="0" w:color="auto"/>
                    <w:bottom w:val="none" w:sz="0" w:space="0" w:color="auto"/>
                    <w:right w:val="none" w:sz="0" w:space="0" w:color="auto"/>
                  </w:divBdr>
                  <w:divsChild>
                    <w:div w:id="317005413">
                      <w:marLeft w:val="0"/>
                      <w:marRight w:val="0"/>
                      <w:marTop w:val="0"/>
                      <w:marBottom w:val="0"/>
                      <w:divBdr>
                        <w:top w:val="none" w:sz="0" w:space="0" w:color="auto"/>
                        <w:left w:val="none" w:sz="0" w:space="0" w:color="auto"/>
                        <w:bottom w:val="none" w:sz="0" w:space="0" w:color="auto"/>
                        <w:right w:val="none" w:sz="0" w:space="0" w:color="auto"/>
                      </w:divBdr>
                      <w:divsChild>
                        <w:div w:id="1655915662">
                          <w:marLeft w:val="0"/>
                          <w:marRight w:val="0"/>
                          <w:marTop w:val="0"/>
                          <w:marBottom w:val="0"/>
                          <w:divBdr>
                            <w:top w:val="none" w:sz="0" w:space="0" w:color="auto"/>
                            <w:left w:val="none" w:sz="0" w:space="0" w:color="auto"/>
                            <w:bottom w:val="none" w:sz="0" w:space="0" w:color="auto"/>
                            <w:right w:val="none" w:sz="0" w:space="0" w:color="auto"/>
                          </w:divBdr>
                          <w:divsChild>
                            <w:div w:id="2147115638">
                              <w:marLeft w:val="0"/>
                              <w:marRight w:val="0"/>
                              <w:marTop w:val="0"/>
                              <w:marBottom w:val="0"/>
                              <w:divBdr>
                                <w:top w:val="none" w:sz="0" w:space="0" w:color="auto"/>
                                <w:left w:val="none" w:sz="0" w:space="0" w:color="auto"/>
                                <w:bottom w:val="none" w:sz="0" w:space="0" w:color="auto"/>
                                <w:right w:val="none" w:sz="0" w:space="0" w:color="auto"/>
                              </w:divBdr>
                              <w:divsChild>
                                <w:div w:id="213276925">
                                  <w:marLeft w:val="0"/>
                                  <w:marRight w:val="0"/>
                                  <w:marTop w:val="0"/>
                                  <w:marBottom w:val="0"/>
                                  <w:divBdr>
                                    <w:top w:val="none" w:sz="0" w:space="0" w:color="auto"/>
                                    <w:left w:val="none" w:sz="0" w:space="0" w:color="auto"/>
                                    <w:bottom w:val="none" w:sz="0" w:space="0" w:color="auto"/>
                                    <w:right w:val="none" w:sz="0" w:space="0" w:color="auto"/>
                                  </w:divBdr>
                                  <w:divsChild>
                                    <w:div w:id="608661592">
                                      <w:marLeft w:val="0"/>
                                      <w:marRight w:val="0"/>
                                      <w:marTop w:val="0"/>
                                      <w:marBottom w:val="0"/>
                                      <w:divBdr>
                                        <w:top w:val="none" w:sz="0" w:space="0" w:color="auto"/>
                                        <w:left w:val="none" w:sz="0" w:space="0" w:color="auto"/>
                                        <w:bottom w:val="none" w:sz="0" w:space="0" w:color="auto"/>
                                        <w:right w:val="none" w:sz="0" w:space="0" w:color="auto"/>
                                      </w:divBdr>
                                      <w:divsChild>
                                        <w:div w:id="1927036957">
                                          <w:marLeft w:val="0"/>
                                          <w:marRight w:val="0"/>
                                          <w:marTop w:val="0"/>
                                          <w:marBottom w:val="0"/>
                                          <w:divBdr>
                                            <w:top w:val="none" w:sz="0" w:space="0" w:color="auto"/>
                                            <w:left w:val="none" w:sz="0" w:space="0" w:color="auto"/>
                                            <w:bottom w:val="none" w:sz="0" w:space="0" w:color="auto"/>
                                            <w:right w:val="none" w:sz="0" w:space="0" w:color="auto"/>
                                          </w:divBdr>
                                          <w:divsChild>
                                            <w:div w:id="3153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4269367">
      <w:bodyDiv w:val="1"/>
      <w:marLeft w:val="0"/>
      <w:marRight w:val="0"/>
      <w:marTop w:val="0"/>
      <w:marBottom w:val="0"/>
      <w:divBdr>
        <w:top w:val="none" w:sz="0" w:space="0" w:color="auto"/>
        <w:left w:val="none" w:sz="0" w:space="0" w:color="auto"/>
        <w:bottom w:val="none" w:sz="0" w:space="0" w:color="auto"/>
        <w:right w:val="none" w:sz="0" w:space="0" w:color="auto"/>
      </w:divBdr>
    </w:div>
    <w:div w:id="260258981">
      <w:bodyDiv w:val="1"/>
      <w:marLeft w:val="0"/>
      <w:marRight w:val="0"/>
      <w:marTop w:val="0"/>
      <w:marBottom w:val="0"/>
      <w:divBdr>
        <w:top w:val="none" w:sz="0" w:space="0" w:color="auto"/>
        <w:left w:val="none" w:sz="0" w:space="0" w:color="auto"/>
        <w:bottom w:val="none" w:sz="0" w:space="0" w:color="auto"/>
        <w:right w:val="none" w:sz="0" w:space="0" w:color="auto"/>
      </w:divBdr>
    </w:div>
    <w:div w:id="283082567">
      <w:bodyDiv w:val="1"/>
      <w:marLeft w:val="0"/>
      <w:marRight w:val="0"/>
      <w:marTop w:val="0"/>
      <w:marBottom w:val="0"/>
      <w:divBdr>
        <w:top w:val="none" w:sz="0" w:space="0" w:color="auto"/>
        <w:left w:val="none" w:sz="0" w:space="0" w:color="auto"/>
        <w:bottom w:val="none" w:sz="0" w:space="0" w:color="auto"/>
        <w:right w:val="none" w:sz="0" w:space="0" w:color="auto"/>
      </w:divBdr>
    </w:div>
    <w:div w:id="295451970">
      <w:bodyDiv w:val="1"/>
      <w:marLeft w:val="0"/>
      <w:marRight w:val="0"/>
      <w:marTop w:val="0"/>
      <w:marBottom w:val="0"/>
      <w:divBdr>
        <w:top w:val="none" w:sz="0" w:space="0" w:color="auto"/>
        <w:left w:val="none" w:sz="0" w:space="0" w:color="auto"/>
        <w:bottom w:val="none" w:sz="0" w:space="0" w:color="auto"/>
        <w:right w:val="none" w:sz="0" w:space="0" w:color="auto"/>
      </w:divBdr>
    </w:div>
    <w:div w:id="354381785">
      <w:bodyDiv w:val="1"/>
      <w:marLeft w:val="0"/>
      <w:marRight w:val="0"/>
      <w:marTop w:val="0"/>
      <w:marBottom w:val="0"/>
      <w:divBdr>
        <w:top w:val="none" w:sz="0" w:space="0" w:color="auto"/>
        <w:left w:val="none" w:sz="0" w:space="0" w:color="auto"/>
        <w:bottom w:val="none" w:sz="0" w:space="0" w:color="auto"/>
        <w:right w:val="none" w:sz="0" w:space="0" w:color="auto"/>
      </w:divBdr>
    </w:div>
    <w:div w:id="358514037">
      <w:bodyDiv w:val="1"/>
      <w:marLeft w:val="0"/>
      <w:marRight w:val="0"/>
      <w:marTop w:val="0"/>
      <w:marBottom w:val="0"/>
      <w:divBdr>
        <w:top w:val="none" w:sz="0" w:space="0" w:color="auto"/>
        <w:left w:val="none" w:sz="0" w:space="0" w:color="auto"/>
        <w:bottom w:val="none" w:sz="0" w:space="0" w:color="auto"/>
        <w:right w:val="none" w:sz="0" w:space="0" w:color="auto"/>
      </w:divBdr>
    </w:div>
    <w:div w:id="362485011">
      <w:bodyDiv w:val="1"/>
      <w:marLeft w:val="0"/>
      <w:marRight w:val="0"/>
      <w:marTop w:val="0"/>
      <w:marBottom w:val="0"/>
      <w:divBdr>
        <w:top w:val="none" w:sz="0" w:space="0" w:color="auto"/>
        <w:left w:val="none" w:sz="0" w:space="0" w:color="auto"/>
        <w:bottom w:val="none" w:sz="0" w:space="0" w:color="auto"/>
        <w:right w:val="none" w:sz="0" w:space="0" w:color="auto"/>
      </w:divBdr>
      <w:divsChild>
        <w:div w:id="591007288">
          <w:marLeft w:val="547"/>
          <w:marRight w:val="0"/>
          <w:marTop w:val="96"/>
          <w:marBottom w:val="0"/>
          <w:divBdr>
            <w:top w:val="none" w:sz="0" w:space="0" w:color="auto"/>
            <w:left w:val="none" w:sz="0" w:space="0" w:color="auto"/>
            <w:bottom w:val="none" w:sz="0" w:space="0" w:color="auto"/>
            <w:right w:val="none" w:sz="0" w:space="0" w:color="auto"/>
          </w:divBdr>
        </w:div>
        <w:div w:id="704864314">
          <w:marLeft w:val="547"/>
          <w:marRight w:val="0"/>
          <w:marTop w:val="96"/>
          <w:marBottom w:val="0"/>
          <w:divBdr>
            <w:top w:val="none" w:sz="0" w:space="0" w:color="auto"/>
            <w:left w:val="none" w:sz="0" w:space="0" w:color="auto"/>
            <w:bottom w:val="none" w:sz="0" w:space="0" w:color="auto"/>
            <w:right w:val="none" w:sz="0" w:space="0" w:color="auto"/>
          </w:divBdr>
        </w:div>
      </w:divsChild>
    </w:div>
    <w:div w:id="395399835">
      <w:bodyDiv w:val="1"/>
      <w:marLeft w:val="0"/>
      <w:marRight w:val="0"/>
      <w:marTop w:val="0"/>
      <w:marBottom w:val="0"/>
      <w:divBdr>
        <w:top w:val="none" w:sz="0" w:space="0" w:color="auto"/>
        <w:left w:val="none" w:sz="0" w:space="0" w:color="auto"/>
        <w:bottom w:val="none" w:sz="0" w:space="0" w:color="auto"/>
        <w:right w:val="none" w:sz="0" w:space="0" w:color="auto"/>
      </w:divBdr>
    </w:div>
    <w:div w:id="414935630">
      <w:bodyDiv w:val="1"/>
      <w:marLeft w:val="0"/>
      <w:marRight w:val="0"/>
      <w:marTop w:val="0"/>
      <w:marBottom w:val="0"/>
      <w:divBdr>
        <w:top w:val="none" w:sz="0" w:space="0" w:color="auto"/>
        <w:left w:val="none" w:sz="0" w:space="0" w:color="auto"/>
        <w:bottom w:val="none" w:sz="0" w:space="0" w:color="auto"/>
        <w:right w:val="none" w:sz="0" w:space="0" w:color="auto"/>
      </w:divBdr>
    </w:div>
    <w:div w:id="424767867">
      <w:bodyDiv w:val="1"/>
      <w:marLeft w:val="0"/>
      <w:marRight w:val="0"/>
      <w:marTop w:val="0"/>
      <w:marBottom w:val="0"/>
      <w:divBdr>
        <w:top w:val="none" w:sz="0" w:space="0" w:color="auto"/>
        <w:left w:val="none" w:sz="0" w:space="0" w:color="auto"/>
        <w:bottom w:val="none" w:sz="0" w:space="0" w:color="auto"/>
        <w:right w:val="none" w:sz="0" w:space="0" w:color="auto"/>
      </w:divBdr>
    </w:div>
    <w:div w:id="435028334">
      <w:bodyDiv w:val="1"/>
      <w:marLeft w:val="0"/>
      <w:marRight w:val="0"/>
      <w:marTop w:val="0"/>
      <w:marBottom w:val="0"/>
      <w:divBdr>
        <w:top w:val="none" w:sz="0" w:space="0" w:color="auto"/>
        <w:left w:val="none" w:sz="0" w:space="0" w:color="auto"/>
        <w:bottom w:val="none" w:sz="0" w:space="0" w:color="auto"/>
        <w:right w:val="none" w:sz="0" w:space="0" w:color="auto"/>
      </w:divBdr>
    </w:div>
    <w:div w:id="439449646">
      <w:bodyDiv w:val="1"/>
      <w:marLeft w:val="0"/>
      <w:marRight w:val="0"/>
      <w:marTop w:val="0"/>
      <w:marBottom w:val="0"/>
      <w:divBdr>
        <w:top w:val="none" w:sz="0" w:space="0" w:color="auto"/>
        <w:left w:val="none" w:sz="0" w:space="0" w:color="auto"/>
        <w:bottom w:val="none" w:sz="0" w:space="0" w:color="auto"/>
        <w:right w:val="none" w:sz="0" w:space="0" w:color="auto"/>
      </w:divBdr>
    </w:div>
    <w:div w:id="472523612">
      <w:bodyDiv w:val="1"/>
      <w:marLeft w:val="0"/>
      <w:marRight w:val="0"/>
      <w:marTop w:val="0"/>
      <w:marBottom w:val="0"/>
      <w:divBdr>
        <w:top w:val="none" w:sz="0" w:space="0" w:color="auto"/>
        <w:left w:val="none" w:sz="0" w:space="0" w:color="auto"/>
        <w:bottom w:val="none" w:sz="0" w:space="0" w:color="auto"/>
        <w:right w:val="none" w:sz="0" w:space="0" w:color="auto"/>
      </w:divBdr>
      <w:divsChild>
        <w:div w:id="1672290861">
          <w:marLeft w:val="0"/>
          <w:marRight w:val="0"/>
          <w:marTop w:val="100"/>
          <w:marBottom w:val="100"/>
          <w:divBdr>
            <w:top w:val="none" w:sz="0" w:space="0" w:color="auto"/>
            <w:left w:val="none" w:sz="0" w:space="0" w:color="auto"/>
            <w:bottom w:val="none" w:sz="0" w:space="0" w:color="auto"/>
            <w:right w:val="none" w:sz="0" w:space="0" w:color="auto"/>
          </w:divBdr>
          <w:divsChild>
            <w:div w:id="816336283">
              <w:marLeft w:val="0"/>
              <w:marRight w:val="0"/>
              <w:marTop w:val="0"/>
              <w:marBottom w:val="0"/>
              <w:divBdr>
                <w:top w:val="none" w:sz="0" w:space="0" w:color="auto"/>
                <w:left w:val="none" w:sz="0" w:space="0" w:color="auto"/>
                <w:bottom w:val="none" w:sz="0" w:space="0" w:color="auto"/>
                <w:right w:val="none" w:sz="0" w:space="0" w:color="auto"/>
              </w:divBdr>
              <w:divsChild>
                <w:div w:id="384721731">
                  <w:marLeft w:val="0"/>
                  <w:marRight w:val="0"/>
                  <w:marTop w:val="0"/>
                  <w:marBottom w:val="0"/>
                  <w:divBdr>
                    <w:top w:val="none" w:sz="0" w:space="0" w:color="auto"/>
                    <w:left w:val="none" w:sz="0" w:space="0" w:color="auto"/>
                    <w:bottom w:val="none" w:sz="0" w:space="0" w:color="auto"/>
                    <w:right w:val="none" w:sz="0" w:space="0" w:color="auto"/>
                  </w:divBdr>
                  <w:divsChild>
                    <w:div w:id="1217550283">
                      <w:marLeft w:val="0"/>
                      <w:marRight w:val="0"/>
                      <w:marTop w:val="0"/>
                      <w:marBottom w:val="0"/>
                      <w:divBdr>
                        <w:top w:val="none" w:sz="0" w:space="0" w:color="auto"/>
                        <w:left w:val="none" w:sz="0" w:space="0" w:color="auto"/>
                        <w:bottom w:val="none" w:sz="0" w:space="0" w:color="auto"/>
                        <w:right w:val="none" w:sz="0" w:space="0" w:color="auto"/>
                      </w:divBdr>
                      <w:divsChild>
                        <w:div w:id="342587619">
                          <w:marLeft w:val="0"/>
                          <w:marRight w:val="0"/>
                          <w:marTop w:val="0"/>
                          <w:marBottom w:val="0"/>
                          <w:divBdr>
                            <w:top w:val="none" w:sz="0" w:space="0" w:color="auto"/>
                            <w:left w:val="none" w:sz="0" w:space="0" w:color="auto"/>
                            <w:bottom w:val="none" w:sz="0" w:space="0" w:color="auto"/>
                            <w:right w:val="none" w:sz="0" w:space="0" w:color="auto"/>
                          </w:divBdr>
                          <w:divsChild>
                            <w:div w:id="900868316">
                              <w:marLeft w:val="0"/>
                              <w:marRight w:val="0"/>
                              <w:marTop w:val="0"/>
                              <w:marBottom w:val="0"/>
                              <w:divBdr>
                                <w:top w:val="none" w:sz="0" w:space="0" w:color="auto"/>
                                <w:left w:val="none" w:sz="0" w:space="0" w:color="auto"/>
                                <w:bottom w:val="none" w:sz="0" w:space="0" w:color="auto"/>
                                <w:right w:val="none" w:sz="0" w:space="0" w:color="auto"/>
                              </w:divBdr>
                              <w:divsChild>
                                <w:div w:id="315305174">
                                  <w:marLeft w:val="0"/>
                                  <w:marRight w:val="0"/>
                                  <w:marTop w:val="0"/>
                                  <w:marBottom w:val="450"/>
                                  <w:divBdr>
                                    <w:top w:val="none" w:sz="0" w:space="0" w:color="auto"/>
                                    <w:left w:val="none" w:sz="0" w:space="0" w:color="auto"/>
                                    <w:bottom w:val="none" w:sz="0" w:space="0" w:color="auto"/>
                                    <w:right w:val="none" w:sz="0" w:space="0" w:color="auto"/>
                                  </w:divBdr>
                                  <w:divsChild>
                                    <w:div w:id="5821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57967">
      <w:bodyDiv w:val="1"/>
      <w:marLeft w:val="0"/>
      <w:marRight w:val="0"/>
      <w:marTop w:val="0"/>
      <w:marBottom w:val="0"/>
      <w:divBdr>
        <w:top w:val="none" w:sz="0" w:space="0" w:color="auto"/>
        <w:left w:val="none" w:sz="0" w:space="0" w:color="auto"/>
        <w:bottom w:val="none" w:sz="0" w:space="0" w:color="auto"/>
        <w:right w:val="none" w:sz="0" w:space="0" w:color="auto"/>
      </w:divBdr>
      <w:divsChild>
        <w:div w:id="578255444">
          <w:marLeft w:val="0"/>
          <w:marRight w:val="0"/>
          <w:marTop w:val="0"/>
          <w:marBottom w:val="0"/>
          <w:divBdr>
            <w:top w:val="none" w:sz="0" w:space="0" w:color="auto"/>
            <w:left w:val="none" w:sz="0" w:space="0" w:color="auto"/>
            <w:bottom w:val="none" w:sz="0" w:space="0" w:color="auto"/>
            <w:right w:val="none" w:sz="0" w:space="0" w:color="auto"/>
          </w:divBdr>
          <w:divsChild>
            <w:div w:id="1335572004">
              <w:marLeft w:val="0"/>
              <w:marRight w:val="0"/>
              <w:marTop w:val="0"/>
              <w:marBottom w:val="0"/>
              <w:divBdr>
                <w:top w:val="none" w:sz="0" w:space="0" w:color="auto"/>
                <w:left w:val="none" w:sz="0" w:space="0" w:color="auto"/>
                <w:bottom w:val="none" w:sz="0" w:space="0" w:color="auto"/>
                <w:right w:val="none" w:sz="0" w:space="0" w:color="auto"/>
              </w:divBdr>
              <w:divsChild>
                <w:div w:id="191572960">
                  <w:marLeft w:val="0"/>
                  <w:marRight w:val="0"/>
                  <w:marTop w:val="0"/>
                  <w:marBottom w:val="0"/>
                  <w:divBdr>
                    <w:top w:val="none" w:sz="0" w:space="0" w:color="auto"/>
                    <w:left w:val="none" w:sz="0" w:space="0" w:color="auto"/>
                    <w:bottom w:val="none" w:sz="0" w:space="0" w:color="auto"/>
                    <w:right w:val="none" w:sz="0" w:space="0" w:color="auto"/>
                  </w:divBdr>
                  <w:divsChild>
                    <w:div w:id="1507592616">
                      <w:marLeft w:val="0"/>
                      <w:marRight w:val="0"/>
                      <w:marTop w:val="0"/>
                      <w:marBottom w:val="0"/>
                      <w:divBdr>
                        <w:top w:val="none" w:sz="0" w:space="0" w:color="auto"/>
                        <w:left w:val="none" w:sz="0" w:space="0" w:color="auto"/>
                        <w:bottom w:val="none" w:sz="0" w:space="0" w:color="auto"/>
                        <w:right w:val="none" w:sz="0" w:space="0" w:color="auto"/>
                      </w:divBdr>
                      <w:divsChild>
                        <w:div w:id="1735852054">
                          <w:marLeft w:val="0"/>
                          <w:marRight w:val="0"/>
                          <w:marTop w:val="0"/>
                          <w:marBottom w:val="0"/>
                          <w:divBdr>
                            <w:top w:val="none" w:sz="0" w:space="0" w:color="auto"/>
                            <w:left w:val="none" w:sz="0" w:space="0" w:color="auto"/>
                            <w:bottom w:val="none" w:sz="0" w:space="0" w:color="auto"/>
                            <w:right w:val="none" w:sz="0" w:space="0" w:color="auto"/>
                          </w:divBdr>
                          <w:divsChild>
                            <w:div w:id="148375311">
                              <w:marLeft w:val="0"/>
                              <w:marRight w:val="0"/>
                              <w:marTop w:val="0"/>
                              <w:marBottom w:val="0"/>
                              <w:divBdr>
                                <w:top w:val="none" w:sz="0" w:space="0" w:color="auto"/>
                                <w:left w:val="none" w:sz="0" w:space="0" w:color="auto"/>
                                <w:bottom w:val="none" w:sz="0" w:space="0" w:color="auto"/>
                                <w:right w:val="none" w:sz="0" w:space="0" w:color="auto"/>
                              </w:divBdr>
                              <w:divsChild>
                                <w:div w:id="274097670">
                                  <w:marLeft w:val="0"/>
                                  <w:marRight w:val="0"/>
                                  <w:marTop w:val="0"/>
                                  <w:marBottom w:val="0"/>
                                  <w:divBdr>
                                    <w:top w:val="none" w:sz="0" w:space="0" w:color="auto"/>
                                    <w:left w:val="none" w:sz="0" w:space="0" w:color="auto"/>
                                    <w:bottom w:val="none" w:sz="0" w:space="0" w:color="auto"/>
                                    <w:right w:val="none" w:sz="0" w:space="0" w:color="auto"/>
                                  </w:divBdr>
                                  <w:divsChild>
                                    <w:div w:id="291254689">
                                      <w:marLeft w:val="0"/>
                                      <w:marRight w:val="0"/>
                                      <w:marTop w:val="0"/>
                                      <w:marBottom w:val="0"/>
                                      <w:divBdr>
                                        <w:top w:val="none" w:sz="0" w:space="0" w:color="auto"/>
                                        <w:left w:val="none" w:sz="0" w:space="0" w:color="auto"/>
                                        <w:bottom w:val="none" w:sz="0" w:space="0" w:color="auto"/>
                                        <w:right w:val="none" w:sz="0" w:space="0" w:color="auto"/>
                                      </w:divBdr>
                                      <w:divsChild>
                                        <w:div w:id="1629430066">
                                          <w:marLeft w:val="0"/>
                                          <w:marRight w:val="0"/>
                                          <w:marTop w:val="0"/>
                                          <w:marBottom w:val="0"/>
                                          <w:divBdr>
                                            <w:top w:val="none" w:sz="0" w:space="0" w:color="auto"/>
                                            <w:left w:val="none" w:sz="0" w:space="0" w:color="auto"/>
                                            <w:bottom w:val="none" w:sz="0" w:space="0" w:color="auto"/>
                                            <w:right w:val="none" w:sz="0" w:space="0" w:color="auto"/>
                                          </w:divBdr>
                                          <w:divsChild>
                                            <w:div w:id="152092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92647">
      <w:bodyDiv w:val="1"/>
      <w:marLeft w:val="0"/>
      <w:marRight w:val="0"/>
      <w:marTop w:val="0"/>
      <w:marBottom w:val="0"/>
      <w:divBdr>
        <w:top w:val="none" w:sz="0" w:space="0" w:color="auto"/>
        <w:left w:val="none" w:sz="0" w:space="0" w:color="auto"/>
        <w:bottom w:val="none" w:sz="0" w:space="0" w:color="auto"/>
        <w:right w:val="none" w:sz="0" w:space="0" w:color="auto"/>
      </w:divBdr>
    </w:div>
    <w:div w:id="543639752">
      <w:bodyDiv w:val="1"/>
      <w:marLeft w:val="0"/>
      <w:marRight w:val="0"/>
      <w:marTop w:val="0"/>
      <w:marBottom w:val="0"/>
      <w:divBdr>
        <w:top w:val="none" w:sz="0" w:space="0" w:color="auto"/>
        <w:left w:val="none" w:sz="0" w:space="0" w:color="auto"/>
        <w:bottom w:val="none" w:sz="0" w:space="0" w:color="auto"/>
        <w:right w:val="none" w:sz="0" w:space="0" w:color="auto"/>
      </w:divBdr>
    </w:div>
    <w:div w:id="549806775">
      <w:bodyDiv w:val="1"/>
      <w:marLeft w:val="0"/>
      <w:marRight w:val="0"/>
      <w:marTop w:val="0"/>
      <w:marBottom w:val="0"/>
      <w:divBdr>
        <w:top w:val="none" w:sz="0" w:space="0" w:color="auto"/>
        <w:left w:val="none" w:sz="0" w:space="0" w:color="auto"/>
        <w:bottom w:val="none" w:sz="0" w:space="0" w:color="auto"/>
        <w:right w:val="none" w:sz="0" w:space="0" w:color="auto"/>
      </w:divBdr>
    </w:div>
    <w:div w:id="568266830">
      <w:bodyDiv w:val="1"/>
      <w:marLeft w:val="0"/>
      <w:marRight w:val="0"/>
      <w:marTop w:val="0"/>
      <w:marBottom w:val="0"/>
      <w:divBdr>
        <w:top w:val="none" w:sz="0" w:space="0" w:color="auto"/>
        <w:left w:val="none" w:sz="0" w:space="0" w:color="auto"/>
        <w:bottom w:val="none" w:sz="0" w:space="0" w:color="auto"/>
        <w:right w:val="none" w:sz="0" w:space="0" w:color="auto"/>
      </w:divBdr>
      <w:divsChild>
        <w:div w:id="1082871094">
          <w:marLeft w:val="0"/>
          <w:marRight w:val="0"/>
          <w:marTop w:val="0"/>
          <w:marBottom w:val="0"/>
          <w:divBdr>
            <w:top w:val="none" w:sz="0" w:space="0" w:color="auto"/>
            <w:left w:val="none" w:sz="0" w:space="0" w:color="auto"/>
            <w:bottom w:val="none" w:sz="0" w:space="0" w:color="auto"/>
            <w:right w:val="none" w:sz="0" w:space="0" w:color="auto"/>
          </w:divBdr>
          <w:divsChild>
            <w:div w:id="432165021">
              <w:marLeft w:val="0"/>
              <w:marRight w:val="0"/>
              <w:marTop w:val="0"/>
              <w:marBottom w:val="0"/>
              <w:divBdr>
                <w:top w:val="none" w:sz="0" w:space="0" w:color="auto"/>
                <w:left w:val="none" w:sz="0" w:space="0" w:color="auto"/>
                <w:bottom w:val="none" w:sz="0" w:space="0" w:color="auto"/>
                <w:right w:val="none" w:sz="0" w:space="0" w:color="auto"/>
              </w:divBdr>
              <w:divsChild>
                <w:div w:id="117141729">
                  <w:marLeft w:val="0"/>
                  <w:marRight w:val="0"/>
                  <w:marTop w:val="0"/>
                  <w:marBottom w:val="0"/>
                  <w:divBdr>
                    <w:top w:val="none" w:sz="0" w:space="0" w:color="auto"/>
                    <w:left w:val="none" w:sz="0" w:space="0" w:color="auto"/>
                    <w:bottom w:val="none" w:sz="0" w:space="0" w:color="auto"/>
                    <w:right w:val="none" w:sz="0" w:space="0" w:color="auto"/>
                  </w:divBdr>
                  <w:divsChild>
                    <w:div w:id="1203322764">
                      <w:marLeft w:val="0"/>
                      <w:marRight w:val="0"/>
                      <w:marTop w:val="0"/>
                      <w:marBottom w:val="0"/>
                      <w:divBdr>
                        <w:top w:val="none" w:sz="0" w:space="0" w:color="auto"/>
                        <w:left w:val="none" w:sz="0" w:space="0" w:color="auto"/>
                        <w:bottom w:val="none" w:sz="0" w:space="0" w:color="auto"/>
                        <w:right w:val="none" w:sz="0" w:space="0" w:color="auto"/>
                      </w:divBdr>
                      <w:divsChild>
                        <w:div w:id="17112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710596">
      <w:bodyDiv w:val="1"/>
      <w:marLeft w:val="0"/>
      <w:marRight w:val="0"/>
      <w:marTop w:val="0"/>
      <w:marBottom w:val="0"/>
      <w:divBdr>
        <w:top w:val="none" w:sz="0" w:space="0" w:color="auto"/>
        <w:left w:val="none" w:sz="0" w:space="0" w:color="auto"/>
        <w:bottom w:val="none" w:sz="0" w:space="0" w:color="auto"/>
        <w:right w:val="none" w:sz="0" w:space="0" w:color="auto"/>
      </w:divBdr>
    </w:div>
    <w:div w:id="594437156">
      <w:bodyDiv w:val="1"/>
      <w:marLeft w:val="0"/>
      <w:marRight w:val="0"/>
      <w:marTop w:val="0"/>
      <w:marBottom w:val="0"/>
      <w:divBdr>
        <w:top w:val="none" w:sz="0" w:space="0" w:color="auto"/>
        <w:left w:val="none" w:sz="0" w:space="0" w:color="auto"/>
        <w:bottom w:val="none" w:sz="0" w:space="0" w:color="auto"/>
        <w:right w:val="none" w:sz="0" w:space="0" w:color="auto"/>
      </w:divBdr>
    </w:div>
    <w:div w:id="639771850">
      <w:bodyDiv w:val="1"/>
      <w:marLeft w:val="0"/>
      <w:marRight w:val="0"/>
      <w:marTop w:val="0"/>
      <w:marBottom w:val="0"/>
      <w:divBdr>
        <w:top w:val="none" w:sz="0" w:space="0" w:color="auto"/>
        <w:left w:val="none" w:sz="0" w:space="0" w:color="auto"/>
        <w:bottom w:val="none" w:sz="0" w:space="0" w:color="auto"/>
        <w:right w:val="none" w:sz="0" w:space="0" w:color="auto"/>
      </w:divBdr>
    </w:div>
    <w:div w:id="647634169">
      <w:bodyDiv w:val="1"/>
      <w:marLeft w:val="0"/>
      <w:marRight w:val="0"/>
      <w:marTop w:val="0"/>
      <w:marBottom w:val="0"/>
      <w:divBdr>
        <w:top w:val="none" w:sz="0" w:space="0" w:color="auto"/>
        <w:left w:val="none" w:sz="0" w:space="0" w:color="auto"/>
        <w:bottom w:val="none" w:sz="0" w:space="0" w:color="auto"/>
        <w:right w:val="none" w:sz="0" w:space="0" w:color="auto"/>
      </w:divBdr>
    </w:div>
    <w:div w:id="668560827">
      <w:bodyDiv w:val="1"/>
      <w:marLeft w:val="0"/>
      <w:marRight w:val="0"/>
      <w:marTop w:val="0"/>
      <w:marBottom w:val="0"/>
      <w:divBdr>
        <w:top w:val="none" w:sz="0" w:space="0" w:color="auto"/>
        <w:left w:val="none" w:sz="0" w:space="0" w:color="auto"/>
        <w:bottom w:val="none" w:sz="0" w:space="0" w:color="auto"/>
        <w:right w:val="none" w:sz="0" w:space="0" w:color="auto"/>
      </w:divBdr>
    </w:div>
    <w:div w:id="683095393">
      <w:bodyDiv w:val="1"/>
      <w:marLeft w:val="0"/>
      <w:marRight w:val="0"/>
      <w:marTop w:val="0"/>
      <w:marBottom w:val="0"/>
      <w:divBdr>
        <w:top w:val="none" w:sz="0" w:space="0" w:color="auto"/>
        <w:left w:val="none" w:sz="0" w:space="0" w:color="auto"/>
        <w:bottom w:val="none" w:sz="0" w:space="0" w:color="auto"/>
        <w:right w:val="none" w:sz="0" w:space="0" w:color="auto"/>
      </w:divBdr>
    </w:div>
    <w:div w:id="700977680">
      <w:bodyDiv w:val="1"/>
      <w:marLeft w:val="0"/>
      <w:marRight w:val="0"/>
      <w:marTop w:val="0"/>
      <w:marBottom w:val="0"/>
      <w:divBdr>
        <w:top w:val="none" w:sz="0" w:space="0" w:color="auto"/>
        <w:left w:val="none" w:sz="0" w:space="0" w:color="auto"/>
        <w:bottom w:val="none" w:sz="0" w:space="0" w:color="auto"/>
        <w:right w:val="none" w:sz="0" w:space="0" w:color="auto"/>
      </w:divBdr>
    </w:div>
    <w:div w:id="764228985">
      <w:bodyDiv w:val="1"/>
      <w:marLeft w:val="0"/>
      <w:marRight w:val="0"/>
      <w:marTop w:val="0"/>
      <w:marBottom w:val="0"/>
      <w:divBdr>
        <w:top w:val="none" w:sz="0" w:space="0" w:color="auto"/>
        <w:left w:val="none" w:sz="0" w:space="0" w:color="auto"/>
        <w:bottom w:val="none" w:sz="0" w:space="0" w:color="auto"/>
        <w:right w:val="none" w:sz="0" w:space="0" w:color="auto"/>
      </w:divBdr>
    </w:div>
    <w:div w:id="795756869">
      <w:bodyDiv w:val="1"/>
      <w:marLeft w:val="0"/>
      <w:marRight w:val="0"/>
      <w:marTop w:val="0"/>
      <w:marBottom w:val="0"/>
      <w:divBdr>
        <w:top w:val="none" w:sz="0" w:space="0" w:color="auto"/>
        <w:left w:val="none" w:sz="0" w:space="0" w:color="auto"/>
        <w:bottom w:val="none" w:sz="0" w:space="0" w:color="auto"/>
        <w:right w:val="none" w:sz="0" w:space="0" w:color="auto"/>
      </w:divBdr>
    </w:div>
    <w:div w:id="801197354">
      <w:bodyDiv w:val="1"/>
      <w:marLeft w:val="0"/>
      <w:marRight w:val="0"/>
      <w:marTop w:val="0"/>
      <w:marBottom w:val="0"/>
      <w:divBdr>
        <w:top w:val="none" w:sz="0" w:space="0" w:color="auto"/>
        <w:left w:val="none" w:sz="0" w:space="0" w:color="auto"/>
        <w:bottom w:val="none" w:sz="0" w:space="0" w:color="auto"/>
        <w:right w:val="none" w:sz="0" w:space="0" w:color="auto"/>
      </w:divBdr>
    </w:div>
    <w:div w:id="850069314">
      <w:bodyDiv w:val="1"/>
      <w:marLeft w:val="0"/>
      <w:marRight w:val="0"/>
      <w:marTop w:val="0"/>
      <w:marBottom w:val="0"/>
      <w:divBdr>
        <w:top w:val="none" w:sz="0" w:space="0" w:color="auto"/>
        <w:left w:val="none" w:sz="0" w:space="0" w:color="auto"/>
        <w:bottom w:val="none" w:sz="0" w:space="0" w:color="auto"/>
        <w:right w:val="none" w:sz="0" w:space="0" w:color="auto"/>
      </w:divBdr>
    </w:div>
    <w:div w:id="865292169">
      <w:bodyDiv w:val="1"/>
      <w:marLeft w:val="0"/>
      <w:marRight w:val="0"/>
      <w:marTop w:val="0"/>
      <w:marBottom w:val="0"/>
      <w:divBdr>
        <w:top w:val="none" w:sz="0" w:space="0" w:color="auto"/>
        <w:left w:val="none" w:sz="0" w:space="0" w:color="auto"/>
        <w:bottom w:val="none" w:sz="0" w:space="0" w:color="auto"/>
        <w:right w:val="none" w:sz="0" w:space="0" w:color="auto"/>
      </w:divBdr>
    </w:div>
    <w:div w:id="878206849">
      <w:bodyDiv w:val="1"/>
      <w:marLeft w:val="0"/>
      <w:marRight w:val="0"/>
      <w:marTop w:val="0"/>
      <w:marBottom w:val="0"/>
      <w:divBdr>
        <w:top w:val="none" w:sz="0" w:space="0" w:color="auto"/>
        <w:left w:val="none" w:sz="0" w:space="0" w:color="auto"/>
        <w:bottom w:val="none" w:sz="0" w:space="0" w:color="auto"/>
        <w:right w:val="none" w:sz="0" w:space="0" w:color="auto"/>
      </w:divBdr>
    </w:div>
    <w:div w:id="881015066">
      <w:bodyDiv w:val="1"/>
      <w:marLeft w:val="0"/>
      <w:marRight w:val="0"/>
      <w:marTop w:val="0"/>
      <w:marBottom w:val="0"/>
      <w:divBdr>
        <w:top w:val="none" w:sz="0" w:space="0" w:color="auto"/>
        <w:left w:val="none" w:sz="0" w:space="0" w:color="auto"/>
        <w:bottom w:val="none" w:sz="0" w:space="0" w:color="auto"/>
        <w:right w:val="none" w:sz="0" w:space="0" w:color="auto"/>
      </w:divBdr>
    </w:div>
    <w:div w:id="881863262">
      <w:bodyDiv w:val="1"/>
      <w:marLeft w:val="0"/>
      <w:marRight w:val="0"/>
      <w:marTop w:val="0"/>
      <w:marBottom w:val="0"/>
      <w:divBdr>
        <w:top w:val="none" w:sz="0" w:space="0" w:color="auto"/>
        <w:left w:val="none" w:sz="0" w:space="0" w:color="auto"/>
        <w:bottom w:val="none" w:sz="0" w:space="0" w:color="auto"/>
        <w:right w:val="none" w:sz="0" w:space="0" w:color="auto"/>
      </w:divBdr>
    </w:div>
    <w:div w:id="911889279">
      <w:bodyDiv w:val="1"/>
      <w:marLeft w:val="0"/>
      <w:marRight w:val="0"/>
      <w:marTop w:val="0"/>
      <w:marBottom w:val="0"/>
      <w:divBdr>
        <w:top w:val="none" w:sz="0" w:space="0" w:color="auto"/>
        <w:left w:val="none" w:sz="0" w:space="0" w:color="auto"/>
        <w:bottom w:val="none" w:sz="0" w:space="0" w:color="auto"/>
        <w:right w:val="none" w:sz="0" w:space="0" w:color="auto"/>
      </w:divBdr>
    </w:div>
    <w:div w:id="913667448">
      <w:bodyDiv w:val="1"/>
      <w:marLeft w:val="0"/>
      <w:marRight w:val="0"/>
      <w:marTop w:val="0"/>
      <w:marBottom w:val="0"/>
      <w:divBdr>
        <w:top w:val="none" w:sz="0" w:space="0" w:color="auto"/>
        <w:left w:val="none" w:sz="0" w:space="0" w:color="auto"/>
        <w:bottom w:val="none" w:sz="0" w:space="0" w:color="auto"/>
        <w:right w:val="none" w:sz="0" w:space="0" w:color="auto"/>
      </w:divBdr>
    </w:div>
    <w:div w:id="924731472">
      <w:bodyDiv w:val="1"/>
      <w:marLeft w:val="0"/>
      <w:marRight w:val="0"/>
      <w:marTop w:val="0"/>
      <w:marBottom w:val="0"/>
      <w:divBdr>
        <w:top w:val="none" w:sz="0" w:space="0" w:color="auto"/>
        <w:left w:val="none" w:sz="0" w:space="0" w:color="auto"/>
        <w:bottom w:val="none" w:sz="0" w:space="0" w:color="auto"/>
        <w:right w:val="none" w:sz="0" w:space="0" w:color="auto"/>
      </w:divBdr>
    </w:div>
    <w:div w:id="966275424">
      <w:bodyDiv w:val="1"/>
      <w:marLeft w:val="0"/>
      <w:marRight w:val="0"/>
      <w:marTop w:val="0"/>
      <w:marBottom w:val="0"/>
      <w:divBdr>
        <w:top w:val="none" w:sz="0" w:space="0" w:color="auto"/>
        <w:left w:val="none" w:sz="0" w:space="0" w:color="auto"/>
        <w:bottom w:val="none" w:sz="0" w:space="0" w:color="auto"/>
        <w:right w:val="none" w:sz="0" w:space="0" w:color="auto"/>
      </w:divBdr>
    </w:div>
    <w:div w:id="1008410834">
      <w:bodyDiv w:val="1"/>
      <w:marLeft w:val="0"/>
      <w:marRight w:val="0"/>
      <w:marTop w:val="0"/>
      <w:marBottom w:val="0"/>
      <w:divBdr>
        <w:top w:val="none" w:sz="0" w:space="0" w:color="auto"/>
        <w:left w:val="none" w:sz="0" w:space="0" w:color="auto"/>
        <w:bottom w:val="none" w:sz="0" w:space="0" w:color="auto"/>
        <w:right w:val="none" w:sz="0" w:space="0" w:color="auto"/>
      </w:divBdr>
    </w:div>
    <w:div w:id="1028799380">
      <w:bodyDiv w:val="1"/>
      <w:marLeft w:val="0"/>
      <w:marRight w:val="0"/>
      <w:marTop w:val="0"/>
      <w:marBottom w:val="0"/>
      <w:divBdr>
        <w:top w:val="none" w:sz="0" w:space="0" w:color="auto"/>
        <w:left w:val="none" w:sz="0" w:space="0" w:color="auto"/>
        <w:bottom w:val="none" w:sz="0" w:space="0" w:color="auto"/>
        <w:right w:val="none" w:sz="0" w:space="0" w:color="auto"/>
      </w:divBdr>
    </w:div>
    <w:div w:id="1030641744">
      <w:bodyDiv w:val="1"/>
      <w:marLeft w:val="0"/>
      <w:marRight w:val="0"/>
      <w:marTop w:val="0"/>
      <w:marBottom w:val="0"/>
      <w:divBdr>
        <w:top w:val="none" w:sz="0" w:space="0" w:color="auto"/>
        <w:left w:val="none" w:sz="0" w:space="0" w:color="auto"/>
        <w:bottom w:val="none" w:sz="0" w:space="0" w:color="auto"/>
        <w:right w:val="none" w:sz="0" w:space="0" w:color="auto"/>
      </w:divBdr>
    </w:div>
    <w:div w:id="1073577982">
      <w:bodyDiv w:val="1"/>
      <w:marLeft w:val="0"/>
      <w:marRight w:val="0"/>
      <w:marTop w:val="0"/>
      <w:marBottom w:val="0"/>
      <w:divBdr>
        <w:top w:val="none" w:sz="0" w:space="0" w:color="auto"/>
        <w:left w:val="none" w:sz="0" w:space="0" w:color="auto"/>
        <w:bottom w:val="none" w:sz="0" w:space="0" w:color="auto"/>
        <w:right w:val="none" w:sz="0" w:space="0" w:color="auto"/>
      </w:divBdr>
    </w:div>
    <w:div w:id="1090276021">
      <w:bodyDiv w:val="1"/>
      <w:marLeft w:val="0"/>
      <w:marRight w:val="0"/>
      <w:marTop w:val="0"/>
      <w:marBottom w:val="0"/>
      <w:divBdr>
        <w:top w:val="none" w:sz="0" w:space="0" w:color="auto"/>
        <w:left w:val="none" w:sz="0" w:space="0" w:color="auto"/>
        <w:bottom w:val="none" w:sz="0" w:space="0" w:color="auto"/>
        <w:right w:val="none" w:sz="0" w:space="0" w:color="auto"/>
      </w:divBdr>
    </w:div>
    <w:div w:id="1141996537">
      <w:bodyDiv w:val="1"/>
      <w:marLeft w:val="0"/>
      <w:marRight w:val="0"/>
      <w:marTop w:val="0"/>
      <w:marBottom w:val="0"/>
      <w:divBdr>
        <w:top w:val="none" w:sz="0" w:space="0" w:color="auto"/>
        <w:left w:val="none" w:sz="0" w:space="0" w:color="auto"/>
        <w:bottom w:val="none" w:sz="0" w:space="0" w:color="auto"/>
        <w:right w:val="none" w:sz="0" w:space="0" w:color="auto"/>
      </w:divBdr>
    </w:div>
    <w:div w:id="1156997338">
      <w:bodyDiv w:val="1"/>
      <w:marLeft w:val="0"/>
      <w:marRight w:val="0"/>
      <w:marTop w:val="0"/>
      <w:marBottom w:val="0"/>
      <w:divBdr>
        <w:top w:val="none" w:sz="0" w:space="0" w:color="auto"/>
        <w:left w:val="none" w:sz="0" w:space="0" w:color="auto"/>
        <w:bottom w:val="none" w:sz="0" w:space="0" w:color="auto"/>
        <w:right w:val="none" w:sz="0" w:space="0" w:color="auto"/>
      </w:divBdr>
    </w:div>
    <w:div w:id="1162769100">
      <w:bodyDiv w:val="1"/>
      <w:marLeft w:val="0"/>
      <w:marRight w:val="0"/>
      <w:marTop w:val="0"/>
      <w:marBottom w:val="0"/>
      <w:divBdr>
        <w:top w:val="none" w:sz="0" w:space="0" w:color="auto"/>
        <w:left w:val="none" w:sz="0" w:space="0" w:color="auto"/>
        <w:bottom w:val="none" w:sz="0" w:space="0" w:color="auto"/>
        <w:right w:val="none" w:sz="0" w:space="0" w:color="auto"/>
      </w:divBdr>
    </w:div>
    <w:div w:id="1169640050">
      <w:bodyDiv w:val="1"/>
      <w:marLeft w:val="0"/>
      <w:marRight w:val="0"/>
      <w:marTop w:val="0"/>
      <w:marBottom w:val="0"/>
      <w:divBdr>
        <w:top w:val="none" w:sz="0" w:space="0" w:color="auto"/>
        <w:left w:val="none" w:sz="0" w:space="0" w:color="auto"/>
        <w:bottom w:val="none" w:sz="0" w:space="0" w:color="auto"/>
        <w:right w:val="none" w:sz="0" w:space="0" w:color="auto"/>
      </w:divBdr>
    </w:div>
    <w:div w:id="1183202404">
      <w:bodyDiv w:val="1"/>
      <w:marLeft w:val="0"/>
      <w:marRight w:val="0"/>
      <w:marTop w:val="0"/>
      <w:marBottom w:val="0"/>
      <w:divBdr>
        <w:top w:val="none" w:sz="0" w:space="0" w:color="auto"/>
        <w:left w:val="none" w:sz="0" w:space="0" w:color="auto"/>
        <w:bottom w:val="none" w:sz="0" w:space="0" w:color="auto"/>
        <w:right w:val="none" w:sz="0" w:space="0" w:color="auto"/>
      </w:divBdr>
    </w:div>
    <w:div w:id="1188250786">
      <w:bodyDiv w:val="1"/>
      <w:marLeft w:val="0"/>
      <w:marRight w:val="0"/>
      <w:marTop w:val="0"/>
      <w:marBottom w:val="0"/>
      <w:divBdr>
        <w:top w:val="none" w:sz="0" w:space="0" w:color="auto"/>
        <w:left w:val="none" w:sz="0" w:space="0" w:color="auto"/>
        <w:bottom w:val="none" w:sz="0" w:space="0" w:color="auto"/>
        <w:right w:val="none" w:sz="0" w:space="0" w:color="auto"/>
      </w:divBdr>
    </w:div>
    <w:div w:id="1231428029">
      <w:bodyDiv w:val="1"/>
      <w:marLeft w:val="0"/>
      <w:marRight w:val="0"/>
      <w:marTop w:val="0"/>
      <w:marBottom w:val="0"/>
      <w:divBdr>
        <w:top w:val="none" w:sz="0" w:space="0" w:color="auto"/>
        <w:left w:val="none" w:sz="0" w:space="0" w:color="auto"/>
        <w:bottom w:val="none" w:sz="0" w:space="0" w:color="auto"/>
        <w:right w:val="none" w:sz="0" w:space="0" w:color="auto"/>
      </w:divBdr>
    </w:div>
    <w:div w:id="1231649532">
      <w:bodyDiv w:val="1"/>
      <w:marLeft w:val="0"/>
      <w:marRight w:val="0"/>
      <w:marTop w:val="0"/>
      <w:marBottom w:val="0"/>
      <w:divBdr>
        <w:top w:val="none" w:sz="0" w:space="0" w:color="auto"/>
        <w:left w:val="none" w:sz="0" w:space="0" w:color="auto"/>
        <w:bottom w:val="none" w:sz="0" w:space="0" w:color="auto"/>
        <w:right w:val="none" w:sz="0" w:space="0" w:color="auto"/>
      </w:divBdr>
    </w:div>
    <w:div w:id="1243218598">
      <w:bodyDiv w:val="1"/>
      <w:marLeft w:val="0"/>
      <w:marRight w:val="0"/>
      <w:marTop w:val="0"/>
      <w:marBottom w:val="0"/>
      <w:divBdr>
        <w:top w:val="none" w:sz="0" w:space="0" w:color="auto"/>
        <w:left w:val="none" w:sz="0" w:space="0" w:color="auto"/>
        <w:bottom w:val="none" w:sz="0" w:space="0" w:color="auto"/>
        <w:right w:val="none" w:sz="0" w:space="0" w:color="auto"/>
      </w:divBdr>
    </w:div>
    <w:div w:id="1280180715">
      <w:bodyDiv w:val="1"/>
      <w:marLeft w:val="0"/>
      <w:marRight w:val="0"/>
      <w:marTop w:val="0"/>
      <w:marBottom w:val="0"/>
      <w:divBdr>
        <w:top w:val="none" w:sz="0" w:space="0" w:color="auto"/>
        <w:left w:val="none" w:sz="0" w:space="0" w:color="auto"/>
        <w:bottom w:val="none" w:sz="0" w:space="0" w:color="auto"/>
        <w:right w:val="none" w:sz="0" w:space="0" w:color="auto"/>
      </w:divBdr>
    </w:div>
    <w:div w:id="1281300470">
      <w:bodyDiv w:val="1"/>
      <w:marLeft w:val="0"/>
      <w:marRight w:val="0"/>
      <w:marTop w:val="0"/>
      <w:marBottom w:val="0"/>
      <w:divBdr>
        <w:top w:val="none" w:sz="0" w:space="0" w:color="auto"/>
        <w:left w:val="none" w:sz="0" w:space="0" w:color="auto"/>
        <w:bottom w:val="none" w:sz="0" w:space="0" w:color="auto"/>
        <w:right w:val="none" w:sz="0" w:space="0" w:color="auto"/>
      </w:divBdr>
    </w:div>
    <w:div w:id="1282689635">
      <w:bodyDiv w:val="1"/>
      <w:marLeft w:val="0"/>
      <w:marRight w:val="0"/>
      <w:marTop w:val="0"/>
      <w:marBottom w:val="0"/>
      <w:divBdr>
        <w:top w:val="none" w:sz="0" w:space="0" w:color="auto"/>
        <w:left w:val="none" w:sz="0" w:space="0" w:color="auto"/>
        <w:bottom w:val="none" w:sz="0" w:space="0" w:color="auto"/>
        <w:right w:val="none" w:sz="0" w:space="0" w:color="auto"/>
      </w:divBdr>
    </w:div>
    <w:div w:id="1293247636">
      <w:bodyDiv w:val="1"/>
      <w:marLeft w:val="0"/>
      <w:marRight w:val="0"/>
      <w:marTop w:val="0"/>
      <w:marBottom w:val="0"/>
      <w:divBdr>
        <w:top w:val="none" w:sz="0" w:space="0" w:color="auto"/>
        <w:left w:val="none" w:sz="0" w:space="0" w:color="auto"/>
        <w:bottom w:val="none" w:sz="0" w:space="0" w:color="auto"/>
        <w:right w:val="none" w:sz="0" w:space="0" w:color="auto"/>
      </w:divBdr>
    </w:div>
    <w:div w:id="1293441159">
      <w:bodyDiv w:val="1"/>
      <w:marLeft w:val="0"/>
      <w:marRight w:val="0"/>
      <w:marTop w:val="0"/>
      <w:marBottom w:val="0"/>
      <w:divBdr>
        <w:top w:val="none" w:sz="0" w:space="0" w:color="auto"/>
        <w:left w:val="none" w:sz="0" w:space="0" w:color="auto"/>
        <w:bottom w:val="none" w:sz="0" w:space="0" w:color="auto"/>
        <w:right w:val="none" w:sz="0" w:space="0" w:color="auto"/>
      </w:divBdr>
    </w:div>
    <w:div w:id="1322153518">
      <w:bodyDiv w:val="1"/>
      <w:marLeft w:val="0"/>
      <w:marRight w:val="0"/>
      <w:marTop w:val="0"/>
      <w:marBottom w:val="0"/>
      <w:divBdr>
        <w:top w:val="none" w:sz="0" w:space="0" w:color="auto"/>
        <w:left w:val="none" w:sz="0" w:space="0" w:color="auto"/>
        <w:bottom w:val="none" w:sz="0" w:space="0" w:color="auto"/>
        <w:right w:val="none" w:sz="0" w:space="0" w:color="auto"/>
      </w:divBdr>
    </w:div>
    <w:div w:id="1326012403">
      <w:bodyDiv w:val="1"/>
      <w:marLeft w:val="0"/>
      <w:marRight w:val="0"/>
      <w:marTop w:val="0"/>
      <w:marBottom w:val="0"/>
      <w:divBdr>
        <w:top w:val="none" w:sz="0" w:space="0" w:color="auto"/>
        <w:left w:val="none" w:sz="0" w:space="0" w:color="auto"/>
        <w:bottom w:val="none" w:sz="0" w:space="0" w:color="auto"/>
        <w:right w:val="none" w:sz="0" w:space="0" w:color="auto"/>
      </w:divBdr>
    </w:div>
    <w:div w:id="1334995499">
      <w:bodyDiv w:val="1"/>
      <w:marLeft w:val="0"/>
      <w:marRight w:val="0"/>
      <w:marTop w:val="0"/>
      <w:marBottom w:val="0"/>
      <w:divBdr>
        <w:top w:val="none" w:sz="0" w:space="0" w:color="auto"/>
        <w:left w:val="none" w:sz="0" w:space="0" w:color="auto"/>
        <w:bottom w:val="none" w:sz="0" w:space="0" w:color="auto"/>
        <w:right w:val="none" w:sz="0" w:space="0" w:color="auto"/>
      </w:divBdr>
    </w:div>
    <w:div w:id="1348361205">
      <w:bodyDiv w:val="1"/>
      <w:marLeft w:val="0"/>
      <w:marRight w:val="0"/>
      <w:marTop w:val="0"/>
      <w:marBottom w:val="0"/>
      <w:divBdr>
        <w:top w:val="none" w:sz="0" w:space="0" w:color="auto"/>
        <w:left w:val="none" w:sz="0" w:space="0" w:color="auto"/>
        <w:bottom w:val="none" w:sz="0" w:space="0" w:color="auto"/>
        <w:right w:val="none" w:sz="0" w:space="0" w:color="auto"/>
      </w:divBdr>
    </w:div>
    <w:div w:id="1375697506">
      <w:bodyDiv w:val="1"/>
      <w:marLeft w:val="0"/>
      <w:marRight w:val="0"/>
      <w:marTop w:val="0"/>
      <w:marBottom w:val="0"/>
      <w:divBdr>
        <w:top w:val="none" w:sz="0" w:space="0" w:color="auto"/>
        <w:left w:val="none" w:sz="0" w:space="0" w:color="auto"/>
        <w:bottom w:val="none" w:sz="0" w:space="0" w:color="auto"/>
        <w:right w:val="none" w:sz="0" w:space="0" w:color="auto"/>
      </w:divBdr>
    </w:div>
    <w:div w:id="1379276142">
      <w:bodyDiv w:val="1"/>
      <w:marLeft w:val="0"/>
      <w:marRight w:val="0"/>
      <w:marTop w:val="0"/>
      <w:marBottom w:val="0"/>
      <w:divBdr>
        <w:top w:val="none" w:sz="0" w:space="0" w:color="auto"/>
        <w:left w:val="none" w:sz="0" w:space="0" w:color="auto"/>
        <w:bottom w:val="none" w:sz="0" w:space="0" w:color="auto"/>
        <w:right w:val="none" w:sz="0" w:space="0" w:color="auto"/>
      </w:divBdr>
    </w:div>
    <w:div w:id="1387800543">
      <w:bodyDiv w:val="1"/>
      <w:marLeft w:val="0"/>
      <w:marRight w:val="0"/>
      <w:marTop w:val="0"/>
      <w:marBottom w:val="0"/>
      <w:divBdr>
        <w:top w:val="none" w:sz="0" w:space="0" w:color="auto"/>
        <w:left w:val="none" w:sz="0" w:space="0" w:color="auto"/>
        <w:bottom w:val="none" w:sz="0" w:space="0" w:color="auto"/>
        <w:right w:val="none" w:sz="0" w:space="0" w:color="auto"/>
      </w:divBdr>
    </w:div>
    <w:div w:id="1416902488">
      <w:bodyDiv w:val="1"/>
      <w:marLeft w:val="0"/>
      <w:marRight w:val="0"/>
      <w:marTop w:val="0"/>
      <w:marBottom w:val="0"/>
      <w:divBdr>
        <w:top w:val="none" w:sz="0" w:space="0" w:color="auto"/>
        <w:left w:val="none" w:sz="0" w:space="0" w:color="auto"/>
        <w:bottom w:val="none" w:sz="0" w:space="0" w:color="auto"/>
        <w:right w:val="none" w:sz="0" w:space="0" w:color="auto"/>
      </w:divBdr>
    </w:div>
    <w:div w:id="1437024186">
      <w:bodyDiv w:val="1"/>
      <w:marLeft w:val="0"/>
      <w:marRight w:val="0"/>
      <w:marTop w:val="0"/>
      <w:marBottom w:val="0"/>
      <w:divBdr>
        <w:top w:val="none" w:sz="0" w:space="0" w:color="auto"/>
        <w:left w:val="none" w:sz="0" w:space="0" w:color="auto"/>
        <w:bottom w:val="none" w:sz="0" w:space="0" w:color="auto"/>
        <w:right w:val="none" w:sz="0" w:space="0" w:color="auto"/>
      </w:divBdr>
    </w:div>
    <w:div w:id="1450003196">
      <w:bodyDiv w:val="1"/>
      <w:marLeft w:val="0"/>
      <w:marRight w:val="0"/>
      <w:marTop w:val="0"/>
      <w:marBottom w:val="0"/>
      <w:divBdr>
        <w:top w:val="none" w:sz="0" w:space="0" w:color="auto"/>
        <w:left w:val="none" w:sz="0" w:space="0" w:color="auto"/>
        <w:bottom w:val="none" w:sz="0" w:space="0" w:color="auto"/>
        <w:right w:val="none" w:sz="0" w:space="0" w:color="auto"/>
      </w:divBdr>
    </w:div>
    <w:div w:id="1493715102">
      <w:bodyDiv w:val="1"/>
      <w:marLeft w:val="0"/>
      <w:marRight w:val="0"/>
      <w:marTop w:val="0"/>
      <w:marBottom w:val="0"/>
      <w:divBdr>
        <w:top w:val="none" w:sz="0" w:space="0" w:color="auto"/>
        <w:left w:val="none" w:sz="0" w:space="0" w:color="auto"/>
        <w:bottom w:val="none" w:sz="0" w:space="0" w:color="auto"/>
        <w:right w:val="none" w:sz="0" w:space="0" w:color="auto"/>
      </w:divBdr>
    </w:div>
    <w:div w:id="1495877005">
      <w:bodyDiv w:val="1"/>
      <w:marLeft w:val="0"/>
      <w:marRight w:val="0"/>
      <w:marTop w:val="0"/>
      <w:marBottom w:val="0"/>
      <w:divBdr>
        <w:top w:val="none" w:sz="0" w:space="0" w:color="auto"/>
        <w:left w:val="none" w:sz="0" w:space="0" w:color="auto"/>
        <w:bottom w:val="none" w:sz="0" w:space="0" w:color="auto"/>
        <w:right w:val="none" w:sz="0" w:space="0" w:color="auto"/>
      </w:divBdr>
    </w:div>
    <w:div w:id="1503741313">
      <w:bodyDiv w:val="1"/>
      <w:marLeft w:val="0"/>
      <w:marRight w:val="0"/>
      <w:marTop w:val="0"/>
      <w:marBottom w:val="0"/>
      <w:divBdr>
        <w:top w:val="none" w:sz="0" w:space="0" w:color="auto"/>
        <w:left w:val="none" w:sz="0" w:space="0" w:color="auto"/>
        <w:bottom w:val="none" w:sz="0" w:space="0" w:color="auto"/>
        <w:right w:val="none" w:sz="0" w:space="0" w:color="auto"/>
      </w:divBdr>
    </w:div>
    <w:div w:id="1518303562">
      <w:bodyDiv w:val="1"/>
      <w:marLeft w:val="0"/>
      <w:marRight w:val="0"/>
      <w:marTop w:val="0"/>
      <w:marBottom w:val="0"/>
      <w:divBdr>
        <w:top w:val="none" w:sz="0" w:space="0" w:color="auto"/>
        <w:left w:val="none" w:sz="0" w:space="0" w:color="auto"/>
        <w:bottom w:val="none" w:sz="0" w:space="0" w:color="auto"/>
        <w:right w:val="none" w:sz="0" w:space="0" w:color="auto"/>
      </w:divBdr>
      <w:divsChild>
        <w:div w:id="366486142">
          <w:marLeft w:val="0"/>
          <w:marRight w:val="0"/>
          <w:marTop w:val="0"/>
          <w:marBottom w:val="0"/>
          <w:divBdr>
            <w:top w:val="none" w:sz="0" w:space="0" w:color="auto"/>
            <w:left w:val="none" w:sz="0" w:space="0" w:color="auto"/>
            <w:bottom w:val="none" w:sz="0" w:space="0" w:color="auto"/>
            <w:right w:val="none" w:sz="0" w:space="0" w:color="auto"/>
          </w:divBdr>
          <w:divsChild>
            <w:div w:id="1633558571">
              <w:marLeft w:val="0"/>
              <w:marRight w:val="0"/>
              <w:marTop w:val="0"/>
              <w:marBottom w:val="0"/>
              <w:divBdr>
                <w:top w:val="none" w:sz="0" w:space="0" w:color="auto"/>
                <w:left w:val="none" w:sz="0" w:space="0" w:color="auto"/>
                <w:bottom w:val="none" w:sz="0" w:space="0" w:color="auto"/>
                <w:right w:val="none" w:sz="0" w:space="0" w:color="auto"/>
              </w:divBdr>
              <w:divsChild>
                <w:div w:id="2018998143">
                  <w:marLeft w:val="0"/>
                  <w:marRight w:val="0"/>
                  <w:marTop w:val="0"/>
                  <w:marBottom w:val="0"/>
                  <w:divBdr>
                    <w:top w:val="none" w:sz="0" w:space="0" w:color="auto"/>
                    <w:left w:val="none" w:sz="0" w:space="0" w:color="auto"/>
                    <w:bottom w:val="none" w:sz="0" w:space="0" w:color="auto"/>
                    <w:right w:val="none" w:sz="0" w:space="0" w:color="auto"/>
                  </w:divBdr>
                  <w:divsChild>
                    <w:div w:id="1509636340">
                      <w:marLeft w:val="0"/>
                      <w:marRight w:val="0"/>
                      <w:marTop w:val="0"/>
                      <w:marBottom w:val="0"/>
                      <w:divBdr>
                        <w:top w:val="none" w:sz="0" w:space="0" w:color="auto"/>
                        <w:left w:val="none" w:sz="0" w:space="0" w:color="auto"/>
                        <w:bottom w:val="none" w:sz="0" w:space="0" w:color="auto"/>
                        <w:right w:val="none" w:sz="0" w:space="0" w:color="auto"/>
                      </w:divBdr>
                      <w:divsChild>
                        <w:div w:id="1384333976">
                          <w:marLeft w:val="0"/>
                          <w:marRight w:val="0"/>
                          <w:marTop w:val="0"/>
                          <w:marBottom w:val="0"/>
                          <w:divBdr>
                            <w:top w:val="none" w:sz="0" w:space="0" w:color="auto"/>
                            <w:left w:val="none" w:sz="0" w:space="0" w:color="auto"/>
                            <w:bottom w:val="none" w:sz="0" w:space="0" w:color="auto"/>
                            <w:right w:val="none" w:sz="0" w:space="0" w:color="auto"/>
                          </w:divBdr>
                          <w:divsChild>
                            <w:div w:id="289672745">
                              <w:marLeft w:val="0"/>
                              <w:marRight w:val="0"/>
                              <w:marTop w:val="0"/>
                              <w:marBottom w:val="0"/>
                              <w:divBdr>
                                <w:top w:val="none" w:sz="0" w:space="0" w:color="auto"/>
                                <w:left w:val="none" w:sz="0" w:space="0" w:color="auto"/>
                                <w:bottom w:val="none" w:sz="0" w:space="0" w:color="auto"/>
                                <w:right w:val="none" w:sz="0" w:space="0" w:color="auto"/>
                              </w:divBdr>
                              <w:divsChild>
                                <w:div w:id="879708406">
                                  <w:marLeft w:val="0"/>
                                  <w:marRight w:val="0"/>
                                  <w:marTop w:val="0"/>
                                  <w:marBottom w:val="0"/>
                                  <w:divBdr>
                                    <w:top w:val="none" w:sz="0" w:space="0" w:color="auto"/>
                                    <w:left w:val="none" w:sz="0" w:space="0" w:color="auto"/>
                                    <w:bottom w:val="none" w:sz="0" w:space="0" w:color="auto"/>
                                    <w:right w:val="none" w:sz="0" w:space="0" w:color="auto"/>
                                  </w:divBdr>
                                  <w:divsChild>
                                    <w:div w:id="7429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213592">
      <w:bodyDiv w:val="1"/>
      <w:marLeft w:val="0"/>
      <w:marRight w:val="0"/>
      <w:marTop w:val="0"/>
      <w:marBottom w:val="0"/>
      <w:divBdr>
        <w:top w:val="none" w:sz="0" w:space="0" w:color="auto"/>
        <w:left w:val="none" w:sz="0" w:space="0" w:color="auto"/>
        <w:bottom w:val="none" w:sz="0" w:space="0" w:color="auto"/>
        <w:right w:val="none" w:sz="0" w:space="0" w:color="auto"/>
      </w:divBdr>
    </w:div>
    <w:div w:id="1555967748">
      <w:bodyDiv w:val="1"/>
      <w:marLeft w:val="0"/>
      <w:marRight w:val="0"/>
      <w:marTop w:val="0"/>
      <w:marBottom w:val="0"/>
      <w:divBdr>
        <w:top w:val="none" w:sz="0" w:space="0" w:color="auto"/>
        <w:left w:val="none" w:sz="0" w:space="0" w:color="auto"/>
        <w:bottom w:val="none" w:sz="0" w:space="0" w:color="auto"/>
        <w:right w:val="none" w:sz="0" w:space="0" w:color="auto"/>
      </w:divBdr>
      <w:divsChild>
        <w:div w:id="436684577">
          <w:marLeft w:val="0"/>
          <w:marRight w:val="0"/>
          <w:marTop w:val="0"/>
          <w:marBottom w:val="0"/>
          <w:divBdr>
            <w:top w:val="none" w:sz="0" w:space="0" w:color="auto"/>
            <w:left w:val="none" w:sz="0" w:space="0" w:color="auto"/>
            <w:bottom w:val="none" w:sz="0" w:space="0" w:color="auto"/>
            <w:right w:val="none" w:sz="0" w:space="0" w:color="auto"/>
          </w:divBdr>
        </w:div>
        <w:div w:id="668562613">
          <w:marLeft w:val="0"/>
          <w:marRight w:val="0"/>
          <w:marTop w:val="0"/>
          <w:marBottom w:val="0"/>
          <w:divBdr>
            <w:top w:val="none" w:sz="0" w:space="0" w:color="auto"/>
            <w:left w:val="none" w:sz="0" w:space="0" w:color="auto"/>
            <w:bottom w:val="none" w:sz="0" w:space="0" w:color="auto"/>
            <w:right w:val="none" w:sz="0" w:space="0" w:color="auto"/>
          </w:divBdr>
        </w:div>
        <w:div w:id="1492139468">
          <w:marLeft w:val="0"/>
          <w:marRight w:val="0"/>
          <w:marTop w:val="0"/>
          <w:marBottom w:val="0"/>
          <w:divBdr>
            <w:top w:val="none" w:sz="0" w:space="0" w:color="auto"/>
            <w:left w:val="none" w:sz="0" w:space="0" w:color="auto"/>
            <w:bottom w:val="none" w:sz="0" w:space="0" w:color="auto"/>
            <w:right w:val="none" w:sz="0" w:space="0" w:color="auto"/>
          </w:divBdr>
        </w:div>
        <w:div w:id="1531524657">
          <w:marLeft w:val="0"/>
          <w:marRight w:val="0"/>
          <w:marTop w:val="0"/>
          <w:marBottom w:val="0"/>
          <w:divBdr>
            <w:top w:val="none" w:sz="0" w:space="0" w:color="auto"/>
            <w:left w:val="none" w:sz="0" w:space="0" w:color="auto"/>
            <w:bottom w:val="none" w:sz="0" w:space="0" w:color="auto"/>
            <w:right w:val="none" w:sz="0" w:space="0" w:color="auto"/>
          </w:divBdr>
        </w:div>
        <w:div w:id="1668707475">
          <w:marLeft w:val="0"/>
          <w:marRight w:val="0"/>
          <w:marTop w:val="0"/>
          <w:marBottom w:val="0"/>
          <w:divBdr>
            <w:top w:val="none" w:sz="0" w:space="0" w:color="auto"/>
            <w:left w:val="none" w:sz="0" w:space="0" w:color="auto"/>
            <w:bottom w:val="none" w:sz="0" w:space="0" w:color="auto"/>
            <w:right w:val="none" w:sz="0" w:space="0" w:color="auto"/>
          </w:divBdr>
        </w:div>
        <w:div w:id="1686904465">
          <w:marLeft w:val="0"/>
          <w:marRight w:val="0"/>
          <w:marTop w:val="0"/>
          <w:marBottom w:val="0"/>
          <w:divBdr>
            <w:top w:val="none" w:sz="0" w:space="0" w:color="auto"/>
            <w:left w:val="none" w:sz="0" w:space="0" w:color="auto"/>
            <w:bottom w:val="none" w:sz="0" w:space="0" w:color="auto"/>
            <w:right w:val="none" w:sz="0" w:space="0" w:color="auto"/>
          </w:divBdr>
        </w:div>
        <w:div w:id="2106805172">
          <w:marLeft w:val="0"/>
          <w:marRight w:val="0"/>
          <w:marTop w:val="0"/>
          <w:marBottom w:val="0"/>
          <w:divBdr>
            <w:top w:val="none" w:sz="0" w:space="0" w:color="auto"/>
            <w:left w:val="none" w:sz="0" w:space="0" w:color="auto"/>
            <w:bottom w:val="none" w:sz="0" w:space="0" w:color="auto"/>
            <w:right w:val="none" w:sz="0" w:space="0" w:color="auto"/>
          </w:divBdr>
        </w:div>
      </w:divsChild>
    </w:div>
    <w:div w:id="1557936457">
      <w:bodyDiv w:val="1"/>
      <w:marLeft w:val="0"/>
      <w:marRight w:val="0"/>
      <w:marTop w:val="0"/>
      <w:marBottom w:val="0"/>
      <w:divBdr>
        <w:top w:val="none" w:sz="0" w:space="0" w:color="auto"/>
        <w:left w:val="none" w:sz="0" w:space="0" w:color="auto"/>
        <w:bottom w:val="none" w:sz="0" w:space="0" w:color="auto"/>
        <w:right w:val="none" w:sz="0" w:space="0" w:color="auto"/>
      </w:divBdr>
    </w:div>
    <w:div w:id="1559587629">
      <w:bodyDiv w:val="1"/>
      <w:marLeft w:val="0"/>
      <w:marRight w:val="0"/>
      <w:marTop w:val="0"/>
      <w:marBottom w:val="0"/>
      <w:divBdr>
        <w:top w:val="none" w:sz="0" w:space="0" w:color="auto"/>
        <w:left w:val="none" w:sz="0" w:space="0" w:color="auto"/>
        <w:bottom w:val="none" w:sz="0" w:space="0" w:color="auto"/>
        <w:right w:val="none" w:sz="0" w:space="0" w:color="auto"/>
      </w:divBdr>
    </w:div>
    <w:div w:id="1596010640">
      <w:bodyDiv w:val="1"/>
      <w:marLeft w:val="0"/>
      <w:marRight w:val="0"/>
      <w:marTop w:val="0"/>
      <w:marBottom w:val="0"/>
      <w:divBdr>
        <w:top w:val="none" w:sz="0" w:space="0" w:color="auto"/>
        <w:left w:val="none" w:sz="0" w:space="0" w:color="auto"/>
        <w:bottom w:val="none" w:sz="0" w:space="0" w:color="auto"/>
        <w:right w:val="none" w:sz="0" w:space="0" w:color="auto"/>
      </w:divBdr>
    </w:div>
    <w:div w:id="1615599771">
      <w:bodyDiv w:val="1"/>
      <w:marLeft w:val="0"/>
      <w:marRight w:val="0"/>
      <w:marTop w:val="0"/>
      <w:marBottom w:val="0"/>
      <w:divBdr>
        <w:top w:val="none" w:sz="0" w:space="0" w:color="auto"/>
        <w:left w:val="none" w:sz="0" w:space="0" w:color="auto"/>
        <w:bottom w:val="none" w:sz="0" w:space="0" w:color="auto"/>
        <w:right w:val="none" w:sz="0" w:space="0" w:color="auto"/>
      </w:divBdr>
    </w:div>
    <w:div w:id="1626538638">
      <w:bodyDiv w:val="1"/>
      <w:marLeft w:val="0"/>
      <w:marRight w:val="0"/>
      <w:marTop w:val="0"/>
      <w:marBottom w:val="0"/>
      <w:divBdr>
        <w:top w:val="none" w:sz="0" w:space="0" w:color="auto"/>
        <w:left w:val="none" w:sz="0" w:space="0" w:color="auto"/>
        <w:bottom w:val="none" w:sz="0" w:space="0" w:color="auto"/>
        <w:right w:val="none" w:sz="0" w:space="0" w:color="auto"/>
      </w:divBdr>
    </w:div>
    <w:div w:id="1636443551">
      <w:bodyDiv w:val="1"/>
      <w:marLeft w:val="0"/>
      <w:marRight w:val="0"/>
      <w:marTop w:val="0"/>
      <w:marBottom w:val="0"/>
      <w:divBdr>
        <w:top w:val="none" w:sz="0" w:space="0" w:color="auto"/>
        <w:left w:val="none" w:sz="0" w:space="0" w:color="auto"/>
        <w:bottom w:val="none" w:sz="0" w:space="0" w:color="auto"/>
        <w:right w:val="none" w:sz="0" w:space="0" w:color="auto"/>
      </w:divBdr>
    </w:div>
    <w:div w:id="1658529228">
      <w:bodyDiv w:val="1"/>
      <w:marLeft w:val="0"/>
      <w:marRight w:val="0"/>
      <w:marTop w:val="0"/>
      <w:marBottom w:val="0"/>
      <w:divBdr>
        <w:top w:val="none" w:sz="0" w:space="0" w:color="auto"/>
        <w:left w:val="none" w:sz="0" w:space="0" w:color="auto"/>
        <w:bottom w:val="none" w:sz="0" w:space="0" w:color="auto"/>
        <w:right w:val="none" w:sz="0" w:space="0" w:color="auto"/>
      </w:divBdr>
    </w:div>
    <w:div w:id="1666935562">
      <w:bodyDiv w:val="1"/>
      <w:marLeft w:val="0"/>
      <w:marRight w:val="0"/>
      <w:marTop w:val="0"/>
      <w:marBottom w:val="0"/>
      <w:divBdr>
        <w:top w:val="none" w:sz="0" w:space="0" w:color="auto"/>
        <w:left w:val="none" w:sz="0" w:space="0" w:color="auto"/>
        <w:bottom w:val="none" w:sz="0" w:space="0" w:color="auto"/>
        <w:right w:val="none" w:sz="0" w:space="0" w:color="auto"/>
      </w:divBdr>
    </w:div>
    <w:div w:id="1672831776">
      <w:bodyDiv w:val="1"/>
      <w:marLeft w:val="0"/>
      <w:marRight w:val="0"/>
      <w:marTop w:val="0"/>
      <w:marBottom w:val="0"/>
      <w:divBdr>
        <w:top w:val="none" w:sz="0" w:space="0" w:color="auto"/>
        <w:left w:val="none" w:sz="0" w:space="0" w:color="auto"/>
        <w:bottom w:val="none" w:sz="0" w:space="0" w:color="auto"/>
        <w:right w:val="none" w:sz="0" w:space="0" w:color="auto"/>
      </w:divBdr>
    </w:div>
    <w:div w:id="1675187402">
      <w:bodyDiv w:val="1"/>
      <w:marLeft w:val="0"/>
      <w:marRight w:val="0"/>
      <w:marTop w:val="0"/>
      <w:marBottom w:val="0"/>
      <w:divBdr>
        <w:top w:val="none" w:sz="0" w:space="0" w:color="auto"/>
        <w:left w:val="none" w:sz="0" w:space="0" w:color="auto"/>
        <w:bottom w:val="none" w:sz="0" w:space="0" w:color="auto"/>
        <w:right w:val="none" w:sz="0" w:space="0" w:color="auto"/>
      </w:divBdr>
    </w:div>
    <w:div w:id="1702170913">
      <w:bodyDiv w:val="1"/>
      <w:marLeft w:val="0"/>
      <w:marRight w:val="0"/>
      <w:marTop w:val="0"/>
      <w:marBottom w:val="0"/>
      <w:divBdr>
        <w:top w:val="none" w:sz="0" w:space="0" w:color="auto"/>
        <w:left w:val="none" w:sz="0" w:space="0" w:color="auto"/>
        <w:bottom w:val="none" w:sz="0" w:space="0" w:color="auto"/>
        <w:right w:val="none" w:sz="0" w:space="0" w:color="auto"/>
      </w:divBdr>
    </w:div>
    <w:div w:id="1706908012">
      <w:bodyDiv w:val="1"/>
      <w:marLeft w:val="0"/>
      <w:marRight w:val="0"/>
      <w:marTop w:val="0"/>
      <w:marBottom w:val="0"/>
      <w:divBdr>
        <w:top w:val="none" w:sz="0" w:space="0" w:color="auto"/>
        <w:left w:val="none" w:sz="0" w:space="0" w:color="auto"/>
        <w:bottom w:val="none" w:sz="0" w:space="0" w:color="auto"/>
        <w:right w:val="none" w:sz="0" w:space="0" w:color="auto"/>
      </w:divBdr>
      <w:divsChild>
        <w:div w:id="1264650049">
          <w:marLeft w:val="0"/>
          <w:marRight w:val="0"/>
          <w:marTop w:val="0"/>
          <w:marBottom w:val="0"/>
          <w:divBdr>
            <w:top w:val="none" w:sz="0" w:space="0" w:color="auto"/>
            <w:left w:val="none" w:sz="0" w:space="0" w:color="auto"/>
            <w:bottom w:val="none" w:sz="0" w:space="0" w:color="auto"/>
            <w:right w:val="none" w:sz="0" w:space="0" w:color="auto"/>
          </w:divBdr>
          <w:divsChild>
            <w:div w:id="1102798413">
              <w:marLeft w:val="0"/>
              <w:marRight w:val="0"/>
              <w:marTop w:val="0"/>
              <w:marBottom w:val="0"/>
              <w:divBdr>
                <w:top w:val="none" w:sz="0" w:space="0" w:color="auto"/>
                <w:left w:val="none" w:sz="0" w:space="0" w:color="auto"/>
                <w:bottom w:val="none" w:sz="0" w:space="0" w:color="auto"/>
                <w:right w:val="none" w:sz="0" w:space="0" w:color="auto"/>
              </w:divBdr>
              <w:divsChild>
                <w:div w:id="176502356">
                  <w:marLeft w:val="0"/>
                  <w:marRight w:val="0"/>
                  <w:marTop w:val="0"/>
                  <w:marBottom w:val="0"/>
                  <w:divBdr>
                    <w:top w:val="none" w:sz="0" w:space="0" w:color="auto"/>
                    <w:left w:val="none" w:sz="0" w:space="0" w:color="auto"/>
                    <w:bottom w:val="none" w:sz="0" w:space="0" w:color="auto"/>
                    <w:right w:val="none" w:sz="0" w:space="0" w:color="auto"/>
                  </w:divBdr>
                  <w:divsChild>
                    <w:div w:id="487479406">
                      <w:marLeft w:val="0"/>
                      <w:marRight w:val="0"/>
                      <w:marTop w:val="0"/>
                      <w:marBottom w:val="0"/>
                      <w:divBdr>
                        <w:top w:val="none" w:sz="0" w:space="0" w:color="auto"/>
                        <w:left w:val="none" w:sz="0" w:space="0" w:color="auto"/>
                        <w:bottom w:val="none" w:sz="0" w:space="0" w:color="auto"/>
                        <w:right w:val="none" w:sz="0" w:space="0" w:color="auto"/>
                      </w:divBdr>
                      <w:divsChild>
                        <w:div w:id="1542672847">
                          <w:marLeft w:val="0"/>
                          <w:marRight w:val="0"/>
                          <w:marTop w:val="0"/>
                          <w:marBottom w:val="0"/>
                          <w:divBdr>
                            <w:top w:val="none" w:sz="0" w:space="0" w:color="auto"/>
                            <w:left w:val="none" w:sz="0" w:space="0" w:color="auto"/>
                            <w:bottom w:val="none" w:sz="0" w:space="0" w:color="auto"/>
                            <w:right w:val="none" w:sz="0" w:space="0" w:color="auto"/>
                          </w:divBdr>
                          <w:divsChild>
                            <w:div w:id="1398363848">
                              <w:marLeft w:val="0"/>
                              <w:marRight w:val="0"/>
                              <w:marTop w:val="0"/>
                              <w:marBottom w:val="0"/>
                              <w:divBdr>
                                <w:top w:val="none" w:sz="0" w:space="0" w:color="auto"/>
                                <w:left w:val="none" w:sz="0" w:space="0" w:color="auto"/>
                                <w:bottom w:val="none" w:sz="0" w:space="0" w:color="auto"/>
                                <w:right w:val="none" w:sz="0" w:space="0" w:color="auto"/>
                              </w:divBdr>
                              <w:divsChild>
                                <w:div w:id="1074208682">
                                  <w:marLeft w:val="0"/>
                                  <w:marRight w:val="0"/>
                                  <w:marTop w:val="0"/>
                                  <w:marBottom w:val="0"/>
                                  <w:divBdr>
                                    <w:top w:val="none" w:sz="0" w:space="0" w:color="auto"/>
                                    <w:left w:val="none" w:sz="0" w:space="0" w:color="auto"/>
                                    <w:bottom w:val="none" w:sz="0" w:space="0" w:color="auto"/>
                                    <w:right w:val="none" w:sz="0" w:space="0" w:color="auto"/>
                                  </w:divBdr>
                                  <w:divsChild>
                                    <w:div w:id="599996365">
                                      <w:marLeft w:val="0"/>
                                      <w:marRight w:val="0"/>
                                      <w:marTop w:val="0"/>
                                      <w:marBottom w:val="0"/>
                                      <w:divBdr>
                                        <w:top w:val="none" w:sz="0" w:space="0" w:color="auto"/>
                                        <w:left w:val="none" w:sz="0" w:space="0" w:color="auto"/>
                                        <w:bottom w:val="none" w:sz="0" w:space="0" w:color="auto"/>
                                        <w:right w:val="none" w:sz="0" w:space="0" w:color="auto"/>
                                      </w:divBdr>
                                      <w:divsChild>
                                        <w:div w:id="1070268934">
                                          <w:marLeft w:val="0"/>
                                          <w:marRight w:val="0"/>
                                          <w:marTop w:val="0"/>
                                          <w:marBottom w:val="0"/>
                                          <w:divBdr>
                                            <w:top w:val="none" w:sz="0" w:space="0" w:color="auto"/>
                                            <w:left w:val="none" w:sz="0" w:space="0" w:color="auto"/>
                                            <w:bottom w:val="none" w:sz="0" w:space="0" w:color="auto"/>
                                            <w:right w:val="none" w:sz="0" w:space="0" w:color="auto"/>
                                          </w:divBdr>
                                          <w:divsChild>
                                            <w:div w:id="19653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645409">
      <w:bodyDiv w:val="1"/>
      <w:marLeft w:val="0"/>
      <w:marRight w:val="0"/>
      <w:marTop w:val="0"/>
      <w:marBottom w:val="0"/>
      <w:divBdr>
        <w:top w:val="none" w:sz="0" w:space="0" w:color="auto"/>
        <w:left w:val="none" w:sz="0" w:space="0" w:color="auto"/>
        <w:bottom w:val="none" w:sz="0" w:space="0" w:color="auto"/>
        <w:right w:val="none" w:sz="0" w:space="0" w:color="auto"/>
      </w:divBdr>
    </w:div>
    <w:div w:id="1734235358">
      <w:bodyDiv w:val="1"/>
      <w:marLeft w:val="0"/>
      <w:marRight w:val="0"/>
      <w:marTop w:val="0"/>
      <w:marBottom w:val="0"/>
      <w:divBdr>
        <w:top w:val="none" w:sz="0" w:space="0" w:color="auto"/>
        <w:left w:val="none" w:sz="0" w:space="0" w:color="auto"/>
        <w:bottom w:val="none" w:sz="0" w:space="0" w:color="auto"/>
        <w:right w:val="none" w:sz="0" w:space="0" w:color="auto"/>
      </w:divBdr>
    </w:div>
    <w:div w:id="1764300522">
      <w:bodyDiv w:val="1"/>
      <w:marLeft w:val="0"/>
      <w:marRight w:val="0"/>
      <w:marTop w:val="0"/>
      <w:marBottom w:val="0"/>
      <w:divBdr>
        <w:top w:val="none" w:sz="0" w:space="0" w:color="auto"/>
        <w:left w:val="none" w:sz="0" w:space="0" w:color="auto"/>
        <w:bottom w:val="none" w:sz="0" w:space="0" w:color="auto"/>
        <w:right w:val="none" w:sz="0" w:space="0" w:color="auto"/>
      </w:divBdr>
    </w:div>
    <w:div w:id="1821575598">
      <w:bodyDiv w:val="1"/>
      <w:marLeft w:val="0"/>
      <w:marRight w:val="0"/>
      <w:marTop w:val="0"/>
      <w:marBottom w:val="0"/>
      <w:divBdr>
        <w:top w:val="none" w:sz="0" w:space="0" w:color="auto"/>
        <w:left w:val="none" w:sz="0" w:space="0" w:color="auto"/>
        <w:bottom w:val="none" w:sz="0" w:space="0" w:color="auto"/>
        <w:right w:val="none" w:sz="0" w:space="0" w:color="auto"/>
      </w:divBdr>
    </w:div>
    <w:div w:id="1836796335">
      <w:bodyDiv w:val="1"/>
      <w:marLeft w:val="0"/>
      <w:marRight w:val="0"/>
      <w:marTop w:val="0"/>
      <w:marBottom w:val="0"/>
      <w:divBdr>
        <w:top w:val="none" w:sz="0" w:space="0" w:color="auto"/>
        <w:left w:val="none" w:sz="0" w:space="0" w:color="auto"/>
        <w:bottom w:val="none" w:sz="0" w:space="0" w:color="auto"/>
        <w:right w:val="none" w:sz="0" w:space="0" w:color="auto"/>
      </w:divBdr>
    </w:div>
    <w:div w:id="1864005999">
      <w:bodyDiv w:val="1"/>
      <w:marLeft w:val="0"/>
      <w:marRight w:val="0"/>
      <w:marTop w:val="0"/>
      <w:marBottom w:val="0"/>
      <w:divBdr>
        <w:top w:val="none" w:sz="0" w:space="0" w:color="auto"/>
        <w:left w:val="none" w:sz="0" w:space="0" w:color="auto"/>
        <w:bottom w:val="none" w:sz="0" w:space="0" w:color="auto"/>
        <w:right w:val="none" w:sz="0" w:space="0" w:color="auto"/>
      </w:divBdr>
    </w:div>
    <w:div w:id="1880194741">
      <w:bodyDiv w:val="1"/>
      <w:marLeft w:val="0"/>
      <w:marRight w:val="0"/>
      <w:marTop w:val="0"/>
      <w:marBottom w:val="0"/>
      <w:divBdr>
        <w:top w:val="none" w:sz="0" w:space="0" w:color="auto"/>
        <w:left w:val="none" w:sz="0" w:space="0" w:color="auto"/>
        <w:bottom w:val="none" w:sz="0" w:space="0" w:color="auto"/>
        <w:right w:val="none" w:sz="0" w:space="0" w:color="auto"/>
      </w:divBdr>
    </w:div>
    <w:div w:id="1883709557">
      <w:bodyDiv w:val="1"/>
      <w:marLeft w:val="0"/>
      <w:marRight w:val="0"/>
      <w:marTop w:val="0"/>
      <w:marBottom w:val="0"/>
      <w:divBdr>
        <w:top w:val="none" w:sz="0" w:space="0" w:color="auto"/>
        <w:left w:val="none" w:sz="0" w:space="0" w:color="auto"/>
        <w:bottom w:val="none" w:sz="0" w:space="0" w:color="auto"/>
        <w:right w:val="none" w:sz="0" w:space="0" w:color="auto"/>
      </w:divBdr>
    </w:div>
    <w:div w:id="1903784185">
      <w:bodyDiv w:val="1"/>
      <w:marLeft w:val="0"/>
      <w:marRight w:val="0"/>
      <w:marTop w:val="0"/>
      <w:marBottom w:val="0"/>
      <w:divBdr>
        <w:top w:val="none" w:sz="0" w:space="0" w:color="auto"/>
        <w:left w:val="none" w:sz="0" w:space="0" w:color="auto"/>
        <w:bottom w:val="none" w:sz="0" w:space="0" w:color="auto"/>
        <w:right w:val="none" w:sz="0" w:space="0" w:color="auto"/>
      </w:divBdr>
      <w:divsChild>
        <w:div w:id="819275471">
          <w:marLeft w:val="0"/>
          <w:marRight w:val="0"/>
          <w:marTop w:val="0"/>
          <w:marBottom w:val="0"/>
          <w:divBdr>
            <w:top w:val="none" w:sz="0" w:space="0" w:color="auto"/>
            <w:left w:val="none" w:sz="0" w:space="0" w:color="auto"/>
            <w:bottom w:val="none" w:sz="0" w:space="0" w:color="auto"/>
            <w:right w:val="none" w:sz="0" w:space="0" w:color="auto"/>
          </w:divBdr>
          <w:divsChild>
            <w:div w:id="19008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4204">
      <w:bodyDiv w:val="1"/>
      <w:marLeft w:val="0"/>
      <w:marRight w:val="0"/>
      <w:marTop w:val="0"/>
      <w:marBottom w:val="0"/>
      <w:divBdr>
        <w:top w:val="none" w:sz="0" w:space="0" w:color="auto"/>
        <w:left w:val="none" w:sz="0" w:space="0" w:color="auto"/>
        <w:bottom w:val="none" w:sz="0" w:space="0" w:color="auto"/>
        <w:right w:val="none" w:sz="0" w:space="0" w:color="auto"/>
      </w:divBdr>
    </w:div>
    <w:div w:id="1928465294">
      <w:bodyDiv w:val="1"/>
      <w:marLeft w:val="0"/>
      <w:marRight w:val="0"/>
      <w:marTop w:val="0"/>
      <w:marBottom w:val="0"/>
      <w:divBdr>
        <w:top w:val="none" w:sz="0" w:space="0" w:color="auto"/>
        <w:left w:val="none" w:sz="0" w:space="0" w:color="auto"/>
        <w:bottom w:val="none" w:sz="0" w:space="0" w:color="auto"/>
        <w:right w:val="none" w:sz="0" w:space="0" w:color="auto"/>
      </w:divBdr>
    </w:div>
    <w:div w:id="1947883352">
      <w:bodyDiv w:val="1"/>
      <w:marLeft w:val="0"/>
      <w:marRight w:val="0"/>
      <w:marTop w:val="0"/>
      <w:marBottom w:val="0"/>
      <w:divBdr>
        <w:top w:val="none" w:sz="0" w:space="0" w:color="auto"/>
        <w:left w:val="none" w:sz="0" w:space="0" w:color="auto"/>
        <w:bottom w:val="none" w:sz="0" w:space="0" w:color="auto"/>
        <w:right w:val="none" w:sz="0" w:space="0" w:color="auto"/>
      </w:divBdr>
    </w:div>
    <w:div w:id="1950115558">
      <w:bodyDiv w:val="1"/>
      <w:marLeft w:val="0"/>
      <w:marRight w:val="0"/>
      <w:marTop w:val="0"/>
      <w:marBottom w:val="0"/>
      <w:divBdr>
        <w:top w:val="none" w:sz="0" w:space="0" w:color="auto"/>
        <w:left w:val="none" w:sz="0" w:space="0" w:color="auto"/>
        <w:bottom w:val="none" w:sz="0" w:space="0" w:color="auto"/>
        <w:right w:val="none" w:sz="0" w:space="0" w:color="auto"/>
      </w:divBdr>
      <w:divsChild>
        <w:div w:id="129442725">
          <w:marLeft w:val="0"/>
          <w:marRight w:val="0"/>
          <w:marTop w:val="0"/>
          <w:marBottom w:val="0"/>
          <w:divBdr>
            <w:top w:val="none" w:sz="0" w:space="0" w:color="auto"/>
            <w:left w:val="none" w:sz="0" w:space="0" w:color="auto"/>
            <w:bottom w:val="none" w:sz="0" w:space="0" w:color="auto"/>
            <w:right w:val="none" w:sz="0" w:space="0" w:color="auto"/>
          </w:divBdr>
          <w:divsChild>
            <w:div w:id="14659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8586">
      <w:bodyDiv w:val="1"/>
      <w:marLeft w:val="0"/>
      <w:marRight w:val="0"/>
      <w:marTop w:val="0"/>
      <w:marBottom w:val="0"/>
      <w:divBdr>
        <w:top w:val="none" w:sz="0" w:space="0" w:color="auto"/>
        <w:left w:val="none" w:sz="0" w:space="0" w:color="auto"/>
        <w:bottom w:val="none" w:sz="0" w:space="0" w:color="auto"/>
        <w:right w:val="none" w:sz="0" w:space="0" w:color="auto"/>
      </w:divBdr>
    </w:div>
    <w:div w:id="2032299774">
      <w:bodyDiv w:val="1"/>
      <w:marLeft w:val="0"/>
      <w:marRight w:val="0"/>
      <w:marTop w:val="0"/>
      <w:marBottom w:val="0"/>
      <w:divBdr>
        <w:top w:val="none" w:sz="0" w:space="0" w:color="auto"/>
        <w:left w:val="none" w:sz="0" w:space="0" w:color="auto"/>
        <w:bottom w:val="none" w:sz="0" w:space="0" w:color="auto"/>
        <w:right w:val="none" w:sz="0" w:space="0" w:color="auto"/>
      </w:divBdr>
    </w:div>
    <w:div w:id="2032753984">
      <w:bodyDiv w:val="1"/>
      <w:marLeft w:val="0"/>
      <w:marRight w:val="0"/>
      <w:marTop w:val="0"/>
      <w:marBottom w:val="0"/>
      <w:divBdr>
        <w:top w:val="none" w:sz="0" w:space="0" w:color="auto"/>
        <w:left w:val="none" w:sz="0" w:space="0" w:color="auto"/>
        <w:bottom w:val="none" w:sz="0" w:space="0" w:color="auto"/>
        <w:right w:val="none" w:sz="0" w:space="0" w:color="auto"/>
      </w:divBdr>
    </w:div>
    <w:div w:id="2036226301">
      <w:bodyDiv w:val="1"/>
      <w:marLeft w:val="0"/>
      <w:marRight w:val="0"/>
      <w:marTop w:val="0"/>
      <w:marBottom w:val="0"/>
      <w:divBdr>
        <w:top w:val="none" w:sz="0" w:space="0" w:color="auto"/>
        <w:left w:val="none" w:sz="0" w:space="0" w:color="auto"/>
        <w:bottom w:val="none" w:sz="0" w:space="0" w:color="auto"/>
        <w:right w:val="none" w:sz="0" w:space="0" w:color="auto"/>
      </w:divBdr>
    </w:div>
    <w:div w:id="2055037698">
      <w:bodyDiv w:val="1"/>
      <w:marLeft w:val="0"/>
      <w:marRight w:val="0"/>
      <w:marTop w:val="0"/>
      <w:marBottom w:val="0"/>
      <w:divBdr>
        <w:top w:val="none" w:sz="0" w:space="0" w:color="auto"/>
        <w:left w:val="none" w:sz="0" w:space="0" w:color="auto"/>
        <w:bottom w:val="none" w:sz="0" w:space="0" w:color="auto"/>
        <w:right w:val="none" w:sz="0" w:space="0" w:color="auto"/>
      </w:divBdr>
    </w:div>
    <w:div w:id="2055301781">
      <w:bodyDiv w:val="1"/>
      <w:marLeft w:val="0"/>
      <w:marRight w:val="0"/>
      <w:marTop w:val="0"/>
      <w:marBottom w:val="0"/>
      <w:divBdr>
        <w:top w:val="none" w:sz="0" w:space="0" w:color="auto"/>
        <w:left w:val="none" w:sz="0" w:space="0" w:color="auto"/>
        <w:bottom w:val="none" w:sz="0" w:space="0" w:color="auto"/>
        <w:right w:val="none" w:sz="0" w:space="0" w:color="auto"/>
      </w:divBdr>
    </w:div>
    <w:div w:id="2059087505">
      <w:bodyDiv w:val="1"/>
      <w:marLeft w:val="0"/>
      <w:marRight w:val="0"/>
      <w:marTop w:val="0"/>
      <w:marBottom w:val="0"/>
      <w:divBdr>
        <w:top w:val="none" w:sz="0" w:space="0" w:color="auto"/>
        <w:left w:val="none" w:sz="0" w:space="0" w:color="auto"/>
        <w:bottom w:val="none" w:sz="0" w:space="0" w:color="auto"/>
        <w:right w:val="none" w:sz="0" w:space="0" w:color="auto"/>
      </w:divBdr>
    </w:div>
    <w:div w:id="2084795132">
      <w:bodyDiv w:val="1"/>
      <w:marLeft w:val="0"/>
      <w:marRight w:val="0"/>
      <w:marTop w:val="0"/>
      <w:marBottom w:val="0"/>
      <w:divBdr>
        <w:top w:val="none" w:sz="0" w:space="0" w:color="auto"/>
        <w:left w:val="none" w:sz="0" w:space="0" w:color="auto"/>
        <w:bottom w:val="none" w:sz="0" w:space="0" w:color="auto"/>
        <w:right w:val="none" w:sz="0" w:space="0" w:color="auto"/>
      </w:divBdr>
    </w:div>
    <w:div w:id="2107654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379D9667A0DF419C9F4774B1B0E625" ma:contentTypeVersion="13" ma:contentTypeDescription="Create a new document." ma:contentTypeScope="" ma:versionID="2c9d58df7f406c29b7007ccbec47ce6c">
  <xsd:schema xmlns:xsd="http://www.w3.org/2001/XMLSchema" xmlns:xs="http://www.w3.org/2001/XMLSchema" xmlns:p="http://schemas.microsoft.com/office/2006/metadata/properties" xmlns:ns3="3f5f9952-ea91-494a-95ea-713a38e9086b" xmlns:ns4="da1bc37e-9c64-45de-bb1e-5320679afe0f" targetNamespace="http://schemas.microsoft.com/office/2006/metadata/properties" ma:root="true" ma:fieldsID="662aead8d872aea0bf7ce52ee2c7d08e" ns3:_="" ns4:_="">
    <xsd:import namespace="3f5f9952-ea91-494a-95ea-713a38e9086b"/>
    <xsd:import namespace="da1bc37e-9c64-45de-bb1e-5320679afe0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f9952-ea91-494a-95ea-713a38e90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bc37e-9c64-45de-bb1e-5320679afe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f5f9952-ea91-494a-95ea-713a38e9086b" xsi:nil="true"/>
  </documentManagement>
</p:properties>
</file>

<file path=customXml/itemProps1.xml><?xml version="1.0" encoding="utf-8"?>
<ds:datastoreItem xmlns:ds="http://schemas.openxmlformats.org/officeDocument/2006/customXml" ds:itemID="{E9F83166-2D02-427D-AA99-00E0D498EB0E}">
  <ds:schemaRefs>
    <ds:schemaRef ds:uri="http://schemas.microsoft.com/sharepoint/v3/contenttype/forms"/>
  </ds:schemaRefs>
</ds:datastoreItem>
</file>

<file path=customXml/itemProps2.xml><?xml version="1.0" encoding="utf-8"?>
<ds:datastoreItem xmlns:ds="http://schemas.openxmlformats.org/officeDocument/2006/customXml" ds:itemID="{68795274-D817-472A-847D-DF74E3BF5DE0}">
  <ds:schemaRefs>
    <ds:schemaRef ds:uri="http://schemas.openxmlformats.org/officeDocument/2006/bibliography"/>
  </ds:schemaRefs>
</ds:datastoreItem>
</file>

<file path=customXml/itemProps3.xml><?xml version="1.0" encoding="utf-8"?>
<ds:datastoreItem xmlns:ds="http://schemas.openxmlformats.org/officeDocument/2006/customXml" ds:itemID="{AC434A03-5C2B-4903-B425-4E5C1E8B8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f9952-ea91-494a-95ea-713a38e9086b"/>
    <ds:schemaRef ds:uri="da1bc37e-9c64-45de-bb1e-5320679af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40362-CD58-4506-841E-8D459536BBCA}">
  <ds:schemaRefs>
    <ds:schemaRef ds:uri="http://schemas.microsoft.com/office/2006/metadata/properties"/>
    <ds:schemaRef ds:uri="http://schemas.microsoft.com/office/infopath/2007/PartnerControls"/>
    <ds:schemaRef ds:uri="3f5f9952-ea91-494a-95ea-713a38e9086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13738</Words>
  <Characters>71171</Characters>
  <Application>Microsoft Office Word</Application>
  <DocSecurity>0</DocSecurity>
  <Lines>593</Lines>
  <Paragraphs>169</Paragraphs>
  <ScaleCrop>false</ScaleCrop>
  <HeadingPairs>
    <vt:vector size="2" baseType="variant">
      <vt:variant>
        <vt:lpstr>Title</vt:lpstr>
      </vt:variant>
      <vt:variant>
        <vt:i4>1</vt:i4>
      </vt:variant>
    </vt:vector>
  </HeadingPairs>
  <TitlesOfParts>
    <vt:vector size="1" baseType="lpstr">
      <vt:lpstr>DRAFT</vt:lpstr>
    </vt:vector>
  </TitlesOfParts>
  <Company>Oxford City Council</Company>
  <LinksUpToDate>false</LinksUpToDate>
  <CharactersWithSpaces>84740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x</dc:creator>
  <cp:keywords/>
  <dc:description/>
  <cp:lastModifiedBy>KENNEDY Nigel</cp:lastModifiedBy>
  <cp:revision>2</cp:revision>
  <cp:lastPrinted>2020-11-11T01:45:00Z</cp:lastPrinted>
  <dcterms:created xsi:type="dcterms:W3CDTF">2024-12-04T07:46:00Z</dcterms:created>
  <dcterms:modified xsi:type="dcterms:W3CDTF">2024-12-04T07:46:00Z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0x01010054379D9667A0DF419C9F4774B1B0E625</vt:lpwstr>
  </property>
</Properties>
</file>